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9B0234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 w:rsidRPr="0070237C">
        <w:rPr>
          <w:rFonts w:eastAsia="Calibri"/>
          <w:lang w:eastAsia="en-US"/>
        </w:rPr>
        <w:t xml:space="preserve">Gdańsk, </w:t>
      </w:r>
      <w:r w:rsidR="00315EEC">
        <w:rPr>
          <w:rFonts w:eastAsia="Calibri"/>
          <w:lang w:eastAsia="en-US"/>
        </w:rPr>
        <w:t>8</w:t>
      </w:r>
      <w:r w:rsidR="00EF53DC" w:rsidRPr="0070237C">
        <w:rPr>
          <w:rFonts w:eastAsia="Calibri"/>
          <w:lang w:eastAsia="en-US"/>
        </w:rPr>
        <w:t xml:space="preserve"> kwietnia</w:t>
      </w:r>
      <w:r w:rsidR="00F82D0B" w:rsidRPr="0070237C">
        <w:rPr>
          <w:rFonts w:eastAsia="Calibri"/>
          <w:lang w:eastAsia="en-US"/>
        </w:rPr>
        <w:t xml:space="preserve"> 201</w:t>
      </w:r>
      <w:r w:rsidR="00103405" w:rsidRPr="0070237C">
        <w:rPr>
          <w:rFonts w:eastAsia="Calibri"/>
          <w:lang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70237C" w:rsidRDefault="0070237C" w:rsidP="008C5B2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kern w:val="0"/>
          <w:lang w:eastAsia="pl-PL"/>
        </w:rPr>
        <w:t xml:space="preserve">Konsorcjum z udziałem Uniwersytetu Gdańskiego na 3. miejscu </w:t>
      </w:r>
      <w:r w:rsidR="00D12026">
        <w:rPr>
          <w:rFonts w:eastAsia="Times New Roman"/>
          <w:b/>
          <w:bCs/>
          <w:kern w:val="0"/>
          <w:lang w:eastAsia="pl-PL"/>
        </w:rPr>
        <w:br/>
      </w:r>
      <w:r>
        <w:rPr>
          <w:rFonts w:eastAsia="Times New Roman"/>
          <w:b/>
          <w:bCs/>
          <w:kern w:val="0"/>
          <w:lang w:eastAsia="pl-PL"/>
        </w:rPr>
        <w:t xml:space="preserve">w </w:t>
      </w:r>
      <w:r>
        <w:rPr>
          <w:rFonts w:eastAsia="Times New Roman"/>
          <w:b/>
          <w:kern w:val="0"/>
          <w:lang w:eastAsia="pl-PL"/>
        </w:rPr>
        <w:t>Programie</w:t>
      </w:r>
      <w:r w:rsidR="00552E0A">
        <w:rPr>
          <w:rFonts w:eastAsia="Times New Roman"/>
          <w:b/>
          <w:kern w:val="0"/>
          <w:lang w:eastAsia="pl-PL"/>
        </w:rPr>
        <w:t xml:space="preserve"> Inkubator Innowacyjności 2.0</w:t>
      </w:r>
    </w:p>
    <w:p w:rsidR="0070237C" w:rsidRDefault="0070237C" w:rsidP="008C5B2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lang w:eastAsia="pl-PL"/>
        </w:rPr>
      </w:pPr>
    </w:p>
    <w:p w:rsidR="0070237C" w:rsidRPr="00457084" w:rsidRDefault="00F1634A" w:rsidP="008C5B23">
      <w:pPr>
        <w:widowControl/>
        <w:suppressAutoHyphens w:val="0"/>
        <w:autoSpaceDN/>
        <w:spacing w:after="0" w:line="240" w:lineRule="auto"/>
        <w:jc w:val="center"/>
        <w:textAlignment w:val="auto"/>
        <w:rPr>
          <w:b/>
        </w:rPr>
      </w:pPr>
      <w:r>
        <w:rPr>
          <w:rFonts w:eastAsia="Times New Roman"/>
          <w:b/>
          <w:bCs/>
          <w:kern w:val="0"/>
          <w:lang w:eastAsia="pl-PL"/>
        </w:rPr>
        <w:t xml:space="preserve">Ponad milion złotych </w:t>
      </w:r>
      <w:r w:rsidRPr="00F1634A">
        <w:rPr>
          <w:rFonts w:eastAsia="Times New Roman"/>
          <w:b/>
          <w:bCs/>
          <w:kern w:val="0"/>
          <w:lang w:eastAsia="pl-PL"/>
        </w:rPr>
        <w:t>na wdrożenia</w:t>
      </w:r>
    </w:p>
    <w:p w:rsidR="00FC2B69" w:rsidRPr="00FC2B69" w:rsidRDefault="00F1634A" w:rsidP="00EB61A0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  <w:rPr>
          <w:rFonts w:eastAsia="Times New Roman"/>
          <w:b/>
          <w:kern w:val="0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br/>
      </w:r>
      <w:r w:rsidR="00FC2B69" w:rsidRPr="00FC2B69">
        <w:rPr>
          <w:rFonts w:eastAsia="Times New Roman"/>
          <w:b/>
          <w:kern w:val="0"/>
          <w:lang w:eastAsia="pl-PL"/>
        </w:rPr>
        <w:t>Konsorcjum w składzie: Politechnika Gdańska</w:t>
      </w:r>
      <w:r w:rsidR="007A05ED">
        <w:rPr>
          <w:rFonts w:eastAsia="Times New Roman"/>
          <w:b/>
          <w:kern w:val="0"/>
          <w:lang w:eastAsia="pl-PL"/>
        </w:rPr>
        <w:t xml:space="preserve"> (lider)</w:t>
      </w:r>
      <w:r w:rsidR="00FC2B69" w:rsidRPr="00FC2B69">
        <w:rPr>
          <w:rFonts w:eastAsia="Times New Roman"/>
          <w:b/>
          <w:kern w:val="0"/>
          <w:lang w:eastAsia="pl-PL"/>
        </w:rPr>
        <w:t xml:space="preserve">, </w:t>
      </w:r>
      <w:r w:rsidR="007A05ED" w:rsidRPr="007A05ED">
        <w:rPr>
          <w:rFonts w:eastAsia="Times New Roman"/>
          <w:b/>
          <w:kern w:val="0"/>
          <w:lang w:eastAsia="pl-PL"/>
        </w:rPr>
        <w:t xml:space="preserve">Uniwersytet Gdański, </w:t>
      </w:r>
      <w:r w:rsidR="00FC2B69" w:rsidRPr="00FC2B69">
        <w:rPr>
          <w:rFonts w:eastAsia="Times New Roman"/>
          <w:b/>
          <w:kern w:val="0"/>
          <w:lang w:eastAsia="pl-PL"/>
        </w:rPr>
        <w:t xml:space="preserve">Gdański Uniwersytet Medyczny oraz Spółka celowa PG Excento sp. z o.o. znalazło się na 3. miejscu na liście rankingowej laureatów konkursu w ramach Programu Inkubator Innowacyjności 2.0. Ta wysoka lokata i dofinansowanie w kwocie 1 100 000,00 zł na wdrożenia utrwala pozycję </w:t>
      </w:r>
      <w:r w:rsidR="005A381D">
        <w:rPr>
          <w:rFonts w:eastAsia="Times New Roman"/>
          <w:b/>
          <w:kern w:val="0"/>
          <w:lang w:eastAsia="pl-PL"/>
        </w:rPr>
        <w:t>Uniwersytetu Gdańskiego</w:t>
      </w:r>
      <w:r w:rsidR="00FC2B69" w:rsidRPr="00FC2B69">
        <w:rPr>
          <w:rFonts w:eastAsia="Times New Roman"/>
          <w:b/>
          <w:kern w:val="0"/>
          <w:lang w:eastAsia="pl-PL"/>
        </w:rPr>
        <w:t xml:space="preserve"> wśród liderów innowacyjności.</w:t>
      </w:r>
    </w:p>
    <w:p w:rsidR="00305564" w:rsidRDefault="00305564" w:rsidP="00383B1B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305564">
        <w:rPr>
          <w:rFonts w:eastAsia="Times New Roman"/>
          <w:kern w:val="0"/>
          <w:lang w:eastAsia="pl-PL"/>
        </w:rPr>
        <w:t>W ramach pro</w:t>
      </w:r>
      <w:r w:rsidR="005A49D9">
        <w:rPr>
          <w:rFonts w:eastAsia="Times New Roman"/>
          <w:kern w:val="0"/>
          <w:lang w:eastAsia="pl-PL"/>
        </w:rPr>
        <w:t>gramu</w:t>
      </w:r>
      <w:r w:rsidRPr="00305564">
        <w:rPr>
          <w:rFonts w:eastAsia="Times New Roman"/>
          <w:kern w:val="0"/>
          <w:lang w:eastAsia="pl-PL"/>
        </w:rPr>
        <w:t xml:space="preserve"> Inkubator Innowacyjności 2.0. </w:t>
      </w:r>
      <w:r w:rsidR="00D45421">
        <w:rPr>
          <w:rFonts w:eastAsia="Times New Roman"/>
          <w:kern w:val="0"/>
          <w:lang w:eastAsia="pl-PL"/>
        </w:rPr>
        <w:t xml:space="preserve">konsorcjum będzie prowadzić </w:t>
      </w:r>
      <w:r w:rsidRPr="00305564">
        <w:rPr>
          <w:rFonts w:eastAsia="Times New Roman"/>
          <w:kern w:val="0"/>
          <w:lang w:eastAsia="pl-PL"/>
        </w:rPr>
        <w:t>przedsięwzięcia przedwdrożeniowe, promowa</w:t>
      </w:r>
      <w:r w:rsidR="00D45421">
        <w:rPr>
          <w:rFonts w:eastAsia="Times New Roman"/>
          <w:kern w:val="0"/>
          <w:lang w:eastAsia="pl-PL"/>
        </w:rPr>
        <w:t>ć</w:t>
      </w:r>
      <w:r w:rsidRPr="00305564">
        <w:rPr>
          <w:rFonts w:eastAsia="Times New Roman"/>
          <w:kern w:val="0"/>
          <w:lang w:eastAsia="pl-PL"/>
        </w:rPr>
        <w:t xml:space="preserve"> osiągnięcia naukowe pomorskich naukowców oraz wzm</w:t>
      </w:r>
      <w:r w:rsidR="00D45421">
        <w:rPr>
          <w:rFonts w:eastAsia="Times New Roman"/>
          <w:kern w:val="0"/>
          <w:lang w:eastAsia="pl-PL"/>
        </w:rPr>
        <w:t>acniać współpracę</w:t>
      </w:r>
      <w:r w:rsidRPr="00305564">
        <w:rPr>
          <w:rFonts w:eastAsia="Times New Roman"/>
          <w:kern w:val="0"/>
          <w:lang w:eastAsia="pl-PL"/>
        </w:rPr>
        <w:t xml:space="preserve"> między środowiskiem naukowym a otoczeniem biznesowym. </w:t>
      </w:r>
      <w:r w:rsidR="00D45421">
        <w:rPr>
          <w:rFonts w:eastAsia="Times New Roman"/>
          <w:kern w:val="0"/>
          <w:lang w:eastAsia="pl-PL"/>
        </w:rPr>
        <w:t>Trzy pomorskie u</w:t>
      </w:r>
      <w:r w:rsidRPr="00305564">
        <w:rPr>
          <w:rFonts w:eastAsia="Times New Roman"/>
          <w:kern w:val="0"/>
          <w:lang w:eastAsia="pl-PL"/>
        </w:rPr>
        <w:t>czelnie zaplanowały m.in. spotkania z przedstawicielami biznesu w celu przedstawienia oferty technologicznej, wyników badań naukowych czy usług badawczych oraz udz</w:t>
      </w:r>
      <w:r>
        <w:rPr>
          <w:rFonts w:eastAsia="Times New Roman"/>
          <w:kern w:val="0"/>
          <w:lang w:eastAsia="pl-PL"/>
        </w:rPr>
        <w:t>iał w targach i wystawach typu ‘</w:t>
      </w:r>
      <w:r w:rsidRPr="00305564">
        <w:rPr>
          <w:rFonts w:eastAsia="Times New Roman"/>
          <w:kern w:val="0"/>
          <w:lang w:eastAsia="pl-PL"/>
        </w:rPr>
        <w:t>science to business</w:t>
      </w:r>
      <w:r>
        <w:rPr>
          <w:rFonts w:eastAsia="Times New Roman"/>
          <w:kern w:val="0"/>
          <w:lang w:eastAsia="pl-PL"/>
        </w:rPr>
        <w:t>’</w:t>
      </w:r>
      <w:r w:rsidRPr="00305564">
        <w:rPr>
          <w:rFonts w:eastAsia="Times New Roman"/>
          <w:kern w:val="0"/>
          <w:lang w:eastAsia="pl-PL"/>
        </w:rPr>
        <w:t>.</w:t>
      </w:r>
    </w:p>
    <w:p w:rsidR="00305564" w:rsidRDefault="00F17FAB" w:rsidP="00F17FAB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F17FAB">
        <w:rPr>
          <w:rFonts w:eastAsia="Times New Roman"/>
          <w:kern w:val="0"/>
          <w:lang w:eastAsia="pl-PL"/>
        </w:rPr>
        <w:t>Konsorcjum jako jeden z 24 wnioskodawców tegorocznej edycji konkursu znalazło się w pierwszej ścisłej trójce konsorcjów z najwyższymi ocenami zespołu re</w:t>
      </w:r>
      <w:r w:rsidR="00AC6D08">
        <w:rPr>
          <w:rFonts w:eastAsia="Times New Roman"/>
          <w:kern w:val="0"/>
          <w:lang w:eastAsia="pl-PL"/>
        </w:rPr>
        <w:t xml:space="preserve">komendującego. </w:t>
      </w:r>
      <w:r w:rsidR="0070237C">
        <w:rPr>
          <w:rFonts w:eastAsia="Times New Roman"/>
          <w:kern w:val="0"/>
          <w:lang w:eastAsia="pl-PL"/>
        </w:rPr>
        <w:t>W</w:t>
      </w:r>
      <w:r w:rsidRPr="00F17FAB">
        <w:rPr>
          <w:rFonts w:eastAsia="Times New Roman"/>
          <w:kern w:val="0"/>
          <w:lang w:eastAsia="pl-PL"/>
        </w:rPr>
        <w:t>ysokie 3</w:t>
      </w:r>
      <w:r>
        <w:rPr>
          <w:rFonts w:eastAsia="Times New Roman"/>
          <w:kern w:val="0"/>
          <w:lang w:eastAsia="pl-PL"/>
        </w:rPr>
        <w:t>.</w:t>
      </w:r>
      <w:r w:rsidRPr="00F17FAB">
        <w:rPr>
          <w:rFonts w:eastAsia="Times New Roman"/>
          <w:kern w:val="0"/>
          <w:lang w:eastAsia="pl-PL"/>
        </w:rPr>
        <w:t xml:space="preserve"> miejsce na liście rankingowej laureatów konkursu utrwala pozycję </w:t>
      </w:r>
      <w:r>
        <w:rPr>
          <w:rFonts w:eastAsia="Times New Roman"/>
          <w:kern w:val="0"/>
          <w:lang w:eastAsia="pl-PL"/>
        </w:rPr>
        <w:t>Uniwersytetu Gdańskiego</w:t>
      </w:r>
      <w:r w:rsidRPr="00F17FAB">
        <w:rPr>
          <w:rFonts w:eastAsia="Times New Roman"/>
          <w:kern w:val="0"/>
          <w:lang w:eastAsia="pl-PL"/>
        </w:rPr>
        <w:t xml:space="preserve"> wśród liderów innowacyjności.</w:t>
      </w:r>
      <w:r>
        <w:rPr>
          <w:rFonts w:eastAsia="Times New Roman"/>
          <w:kern w:val="0"/>
          <w:lang w:eastAsia="pl-PL"/>
        </w:rPr>
        <w:t xml:space="preserve"> </w:t>
      </w:r>
      <w:r w:rsidR="009C0ED2" w:rsidRPr="009C0ED2">
        <w:rPr>
          <w:rFonts w:eastAsia="Times New Roman"/>
          <w:kern w:val="0"/>
          <w:lang w:eastAsia="pl-PL"/>
        </w:rPr>
        <w:t xml:space="preserve">Dofinansowanie </w:t>
      </w:r>
      <w:r w:rsidR="00562460">
        <w:rPr>
          <w:rFonts w:eastAsia="Times New Roman"/>
          <w:kern w:val="0"/>
          <w:lang w:eastAsia="pl-PL"/>
        </w:rPr>
        <w:t xml:space="preserve">dla konsorcjum </w:t>
      </w:r>
      <w:r w:rsidR="009C0ED2" w:rsidRPr="009C0ED2">
        <w:rPr>
          <w:rFonts w:eastAsia="Times New Roman"/>
          <w:kern w:val="0"/>
          <w:lang w:eastAsia="pl-PL"/>
        </w:rPr>
        <w:t>wynosi 90% kosztów kwalifikowalnych tj. 1 100 000,00 zł.</w:t>
      </w:r>
      <w:r w:rsidR="009C0ED2">
        <w:rPr>
          <w:rFonts w:eastAsia="Times New Roman"/>
          <w:kern w:val="0"/>
          <w:lang w:eastAsia="pl-PL"/>
        </w:rPr>
        <w:t xml:space="preserve"> </w:t>
      </w:r>
      <w:r w:rsidR="00CA3770" w:rsidRPr="00CA3770">
        <w:rPr>
          <w:rFonts w:eastAsia="Times New Roman"/>
          <w:kern w:val="0"/>
          <w:lang w:eastAsia="pl-PL"/>
        </w:rPr>
        <w:t>Dofinansowanie dla Uniwersytetu Gdańskiego wynosi 282.333,34 zł</w:t>
      </w:r>
      <w:r w:rsidR="00CA3770">
        <w:rPr>
          <w:rFonts w:eastAsia="Times New Roman"/>
          <w:kern w:val="0"/>
          <w:lang w:eastAsia="pl-PL"/>
        </w:rPr>
        <w:t xml:space="preserve">. </w:t>
      </w:r>
      <w:r>
        <w:rPr>
          <w:rFonts w:eastAsia="Times New Roman"/>
          <w:kern w:val="0"/>
          <w:lang w:eastAsia="pl-PL"/>
        </w:rPr>
        <w:t xml:space="preserve">Na 1. miejscu </w:t>
      </w:r>
      <w:r w:rsidR="00A2169C">
        <w:rPr>
          <w:rFonts w:eastAsia="Times New Roman"/>
          <w:kern w:val="0"/>
          <w:lang w:eastAsia="pl-PL"/>
        </w:rPr>
        <w:t xml:space="preserve">w konkursie </w:t>
      </w:r>
      <w:r>
        <w:rPr>
          <w:rFonts w:eastAsia="Times New Roman"/>
          <w:kern w:val="0"/>
          <w:lang w:eastAsia="pl-PL"/>
        </w:rPr>
        <w:t xml:space="preserve">znalazło się konsorcjum z Uniwersytetem Warszawskim jako liderem, a na 2 – </w:t>
      </w:r>
      <w:r w:rsidRPr="00F17FAB">
        <w:rPr>
          <w:rFonts w:eastAsia="Times New Roman"/>
          <w:kern w:val="0"/>
          <w:lang w:eastAsia="pl-PL"/>
        </w:rPr>
        <w:t xml:space="preserve">konsorcjum </w:t>
      </w:r>
      <w:r>
        <w:rPr>
          <w:rFonts w:eastAsia="Times New Roman"/>
          <w:kern w:val="0"/>
          <w:lang w:eastAsia="pl-PL"/>
        </w:rPr>
        <w:t>z Uniwersytetem Jagiellońskim w Krakowie jako liderem.</w:t>
      </w:r>
    </w:p>
    <w:p w:rsidR="008C180D" w:rsidRDefault="00383B1B" w:rsidP="009C0ED2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383B1B">
        <w:rPr>
          <w:rFonts w:eastAsia="Times New Roman"/>
          <w:kern w:val="0"/>
          <w:lang w:eastAsia="pl-PL"/>
        </w:rPr>
        <w:t xml:space="preserve">Inkubator </w:t>
      </w:r>
      <w:r w:rsidR="00E326B7">
        <w:rPr>
          <w:rFonts w:eastAsia="Times New Roman"/>
          <w:kern w:val="0"/>
          <w:lang w:eastAsia="pl-PL"/>
        </w:rPr>
        <w:t xml:space="preserve">Innowacyjności </w:t>
      </w:r>
      <w:r w:rsidRPr="00383B1B">
        <w:rPr>
          <w:rFonts w:eastAsia="Times New Roman"/>
          <w:kern w:val="0"/>
          <w:lang w:eastAsia="pl-PL"/>
        </w:rPr>
        <w:t>2.0 to przedsięwzięcie Ministra Nauki i Szkolni</w:t>
      </w:r>
      <w:r w:rsidR="00E326B7">
        <w:rPr>
          <w:rFonts w:eastAsia="Times New Roman"/>
          <w:kern w:val="0"/>
          <w:lang w:eastAsia="pl-PL"/>
        </w:rPr>
        <w:t xml:space="preserve">ctwa Wyższego w ramach projektu pozakonkursowego </w:t>
      </w:r>
      <w:r w:rsidRPr="00383B1B">
        <w:rPr>
          <w:rFonts w:eastAsia="Times New Roman"/>
          <w:kern w:val="0"/>
          <w:lang w:eastAsia="pl-PL"/>
        </w:rPr>
        <w:t>„Wsparcie zarządzania badaniami naukowymi i komercjalizacja wyników prac B+R w jednostkach naukowych i przedsiębiorstwach” realizowanego w ramach Programu Operacyjnego Inteligentny Rozwój 2014-2020 (Działanie 4.4).</w:t>
      </w:r>
    </w:p>
    <w:p w:rsidR="00C34ACF" w:rsidRDefault="00642816" w:rsidP="00C34ACF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  <w:r w:rsidRPr="00642816">
        <w:lastRenderedPageBreak/>
        <w:t xml:space="preserve">Trzy pomorskie uczelnie – Uniwersytet Gdański, Politechnika Gdańska oraz Gdański Uniwersytet Medyczny oraz funkcjonujące w ich strukturach Centra Transferu Technologii realizowały razem </w:t>
      </w:r>
      <w:r w:rsidR="00C34ACF">
        <w:t>drugą edycję</w:t>
      </w:r>
      <w:r w:rsidR="0070237C">
        <w:t xml:space="preserve"> </w:t>
      </w:r>
      <w:r w:rsidRPr="00642816">
        <w:t>projekt</w:t>
      </w:r>
      <w:r w:rsidR="00C34ACF">
        <w:t>u</w:t>
      </w:r>
      <w:r w:rsidRPr="00642816">
        <w:t xml:space="preserve"> </w:t>
      </w:r>
      <w:r w:rsidR="0070237C">
        <w:t xml:space="preserve">– </w:t>
      </w:r>
      <w:r w:rsidR="00E94BC1">
        <w:t>Inkubator Innowacyjności+ zakończoną w styczniu</w:t>
      </w:r>
      <w:r w:rsidRPr="00642816">
        <w:t xml:space="preserve"> 2019 roku.</w:t>
      </w:r>
      <w:r w:rsidR="0070237C">
        <w:t xml:space="preserve"> </w:t>
      </w:r>
    </w:p>
    <w:p w:rsidR="008131FB" w:rsidRDefault="00884156" w:rsidP="00C34ACF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  <w:r w:rsidRPr="00884156">
        <w:t xml:space="preserve">– </w:t>
      </w:r>
      <w:r w:rsidR="00C34ACF" w:rsidRPr="00884156">
        <w:rPr>
          <w:i/>
        </w:rPr>
        <w:t>Możliwość współpracy z Politechniką Gdańską oraz Gdańskim Uniwersytetem Medycznym w latach 2017-2018 w kontekście projektu Inkubator Innowacyjności+ była impulsem do skokowego rozwoju Cen</w:t>
      </w:r>
      <w:r w:rsidR="008131FB">
        <w:rPr>
          <w:i/>
        </w:rPr>
        <w:t xml:space="preserve">trum Transferu Technologii UG. </w:t>
      </w:r>
      <w:r w:rsidR="00C34ACF" w:rsidRPr="00884156">
        <w:rPr>
          <w:i/>
        </w:rPr>
        <w:t>Pomiędzy uczelniami powstała unikalna platforma wzajemnej wymiany wiedzy, doświadczeń, standardów działania i dobrych praktyk w obszarze związanym z komercjaliz</w:t>
      </w:r>
      <w:r w:rsidRPr="00884156">
        <w:rPr>
          <w:i/>
        </w:rPr>
        <w:t>acją akademickich wyników badań</w:t>
      </w:r>
      <w:r w:rsidRPr="00884156">
        <w:t xml:space="preserve"> – </w:t>
      </w:r>
      <w:r w:rsidR="006F1913">
        <w:t xml:space="preserve">wyjaśnia </w:t>
      </w:r>
      <w:r w:rsidRPr="00884156">
        <w:t>dr Karol Śledzik, dyrektor Centrum Transferu Technologii</w:t>
      </w:r>
      <w:r w:rsidR="0040567C">
        <w:t xml:space="preserve"> Uniwersytetu Gdańskiego</w:t>
      </w:r>
      <w:r>
        <w:t>.</w:t>
      </w:r>
      <w:r w:rsidR="00C34ACF" w:rsidRPr="00C34ACF">
        <w:t xml:space="preserve"> </w:t>
      </w:r>
    </w:p>
    <w:p w:rsidR="00E35E0A" w:rsidRDefault="00C34ACF" w:rsidP="00C34ACF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  <w:r w:rsidRPr="00C34ACF">
        <w:t>Wsparcie Lidera Konsorcjum tj. Politechniki Gdańskiej na każdym etapie realizacji projektu przyczyniło się do objęcia finansowaniem przez UG (w ramach projektu Inkubator Innowacyjności +) prac przedwdrożeniowych (usługi badawcze, zakup materiałów, surowców, ochrona patentowa) 12 projektów. Oprócz tego, CTT UG uruchomiło własną str</w:t>
      </w:r>
      <w:r w:rsidR="0043241B">
        <w:t>onę www (od października 2017</w:t>
      </w:r>
      <w:r w:rsidRPr="00C34ACF">
        <w:t xml:space="preserve"> witrynę odwiedziło już niemal 30 tys. użytkowników), bazę ofert technologicznych oraz newsletter, co umożliwiło zwiększenie pozycjonowania w Internecie informacji publikowanych przez Jednostkę. W latach 2017-2018 CTT UG umieściło na stronie www 35 teaserów technologicznych, w odniesieniu do których zostało przekazanych otoczeniu biznesowemu 86 ofert współpracy. </w:t>
      </w:r>
    </w:p>
    <w:p w:rsidR="00C34ACF" w:rsidRPr="00C34ACF" w:rsidRDefault="00E35E0A" w:rsidP="00C34ACF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  <w:r w:rsidRPr="00E35E0A">
        <w:rPr>
          <w:i/>
        </w:rPr>
        <w:t xml:space="preserve">– </w:t>
      </w:r>
      <w:r w:rsidR="00C34ACF" w:rsidRPr="00E35E0A">
        <w:rPr>
          <w:i/>
        </w:rPr>
        <w:t>Udział Uniwersytetu Gdańskiego w ramach tego samego konsorcjum (PG+Excento-UG-GUM-ed) w projekcie Inkubator Innowacyjności 2.0. będzie dla naszej jednostki niepowtarzalną szansą na pogłębienie i wzmocnienie współpracy z naszymi partnerami, potwierdzenie wysokiej jakości usług świadczonych naukowcom oraz rozszerzenie portfolio wspartych projektów o kolejne innowacyjne dokonania</w:t>
      </w:r>
      <w:r w:rsidRPr="00E35E0A">
        <w:t xml:space="preserve"> –</w:t>
      </w:r>
      <w:r>
        <w:t xml:space="preserve"> dodaje </w:t>
      </w:r>
      <w:r w:rsidRPr="00E35E0A">
        <w:t xml:space="preserve">dr </w:t>
      </w:r>
      <w:r>
        <w:t>Śledzik.</w:t>
      </w:r>
    </w:p>
    <w:p w:rsidR="00C34ACF" w:rsidRPr="00C34ACF" w:rsidRDefault="0070237C" w:rsidP="00C34ACF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  <w:r w:rsidRPr="00C34ACF">
        <w:t>W ramach</w:t>
      </w:r>
      <w:r w:rsidR="002B22C9" w:rsidRPr="00C34ACF">
        <w:t xml:space="preserve"> nowego</w:t>
      </w:r>
      <w:r w:rsidRPr="00C34ACF">
        <w:t xml:space="preserve"> </w:t>
      </w:r>
      <w:r w:rsidR="002B22C9" w:rsidRPr="00C34ACF">
        <w:t xml:space="preserve">projektu Inkubator Innowacyjności 2.0 Centrum Transferu Technologii UG planuje </w:t>
      </w:r>
      <w:r w:rsidR="00C34ACF">
        <w:t>zorganizowanie</w:t>
      </w:r>
      <w:r w:rsidR="00C34ACF" w:rsidRPr="00C34ACF">
        <w:t xml:space="preserve"> wewnątrzuczelnianego konkursu</w:t>
      </w:r>
      <w:r w:rsidR="00C34ACF">
        <w:t>,</w:t>
      </w:r>
      <w:r w:rsidR="00F87CD8">
        <w:t xml:space="preserve"> </w:t>
      </w:r>
      <w:r w:rsidR="00DA32C9">
        <w:t xml:space="preserve">w </w:t>
      </w:r>
      <w:r w:rsidR="00F87CD8">
        <w:t>ramach którego</w:t>
      </w:r>
      <w:r w:rsidR="00C34ACF" w:rsidRPr="00C34ACF">
        <w:t xml:space="preserve"> </w:t>
      </w:r>
      <w:r w:rsidR="002B22C9" w:rsidRPr="00C34ACF">
        <w:t>wyłonione zostaną przedsięwzięcia</w:t>
      </w:r>
      <w:r w:rsidR="00C34ACF" w:rsidRPr="00C34ACF">
        <w:t xml:space="preserve"> mające szanse otrzymać dofinansowanie</w:t>
      </w:r>
      <w:r w:rsidR="009A3053">
        <w:t xml:space="preserve"> </w:t>
      </w:r>
      <w:r w:rsidR="003703B7">
        <w:t xml:space="preserve">m.in. </w:t>
      </w:r>
      <w:r w:rsidR="00C34ACF" w:rsidRPr="00C34ACF">
        <w:t xml:space="preserve">na prowadzenie prac przedwdrożeniowych </w:t>
      </w:r>
      <w:r w:rsidR="0075739C">
        <w:t>i/</w:t>
      </w:r>
      <w:r w:rsidR="00C34ACF" w:rsidRPr="00C34ACF">
        <w:t>lub promowanie wyników badań naukowych.</w:t>
      </w:r>
      <w:r w:rsidR="00DA32C9">
        <w:t xml:space="preserve"> Informacja o konkursie zostanie opublikowana </w:t>
      </w:r>
      <w:r w:rsidR="002E2A00">
        <w:t xml:space="preserve">zarówno </w:t>
      </w:r>
      <w:r w:rsidR="00DA32C9">
        <w:t xml:space="preserve">na </w:t>
      </w:r>
      <w:r w:rsidR="002E2A00">
        <w:t xml:space="preserve">głównej stronie Uniwersytetu Gdańskiego jak i stronie </w:t>
      </w:r>
      <w:r w:rsidR="00DA32C9">
        <w:t xml:space="preserve">Centrum Transferu Technologii UG. </w:t>
      </w:r>
    </w:p>
    <w:p w:rsidR="0070237C" w:rsidRPr="00C34ACF" w:rsidRDefault="0070237C" w:rsidP="009C0ED2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</w:p>
    <w:sectPr w:rsidR="0070237C" w:rsidRPr="00C34A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7" w:rsidRDefault="003703B7">
      <w:pPr>
        <w:spacing w:after="0" w:line="240" w:lineRule="auto"/>
      </w:pPr>
      <w:r>
        <w:separator/>
      </w:r>
    </w:p>
  </w:endnote>
  <w:endnote w:type="continuationSeparator" w:id="0">
    <w:p w:rsidR="003703B7" w:rsidRDefault="0037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7" w:rsidRDefault="00370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3B7" w:rsidRDefault="0037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4EBB"/>
    <w:rsid w:val="000364F7"/>
    <w:rsid w:val="00061792"/>
    <w:rsid w:val="000874C2"/>
    <w:rsid w:val="00092709"/>
    <w:rsid w:val="00092955"/>
    <w:rsid w:val="000F0849"/>
    <w:rsid w:val="00103405"/>
    <w:rsid w:val="001039FC"/>
    <w:rsid w:val="00105272"/>
    <w:rsid w:val="001419ED"/>
    <w:rsid w:val="00143F0D"/>
    <w:rsid w:val="00171562"/>
    <w:rsid w:val="00182B3D"/>
    <w:rsid w:val="00184754"/>
    <w:rsid w:val="001A4ECD"/>
    <w:rsid w:val="001A7478"/>
    <w:rsid w:val="001B2877"/>
    <w:rsid w:val="001B49D2"/>
    <w:rsid w:val="001C3199"/>
    <w:rsid w:val="001C572D"/>
    <w:rsid w:val="001C57FE"/>
    <w:rsid w:val="001E08C1"/>
    <w:rsid w:val="001E338E"/>
    <w:rsid w:val="001E51AA"/>
    <w:rsid w:val="001F343A"/>
    <w:rsid w:val="001F7F18"/>
    <w:rsid w:val="00244289"/>
    <w:rsid w:val="0024547B"/>
    <w:rsid w:val="00272DE7"/>
    <w:rsid w:val="00293955"/>
    <w:rsid w:val="00297A8F"/>
    <w:rsid w:val="002B22C9"/>
    <w:rsid w:val="002D403A"/>
    <w:rsid w:val="002E1AE5"/>
    <w:rsid w:val="002E2A00"/>
    <w:rsid w:val="00305564"/>
    <w:rsid w:val="0030583D"/>
    <w:rsid w:val="0031087D"/>
    <w:rsid w:val="00315EEC"/>
    <w:rsid w:val="0031600B"/>
    <w:rsid w:val="00325934"/>
    <w:rsid w:val="00326FCF"/>
    <w:rsid w:val="0033188E"/>
    <w:rsid w:val="00331F22"/>
    <w:rsid w:val="00342233"/>
    <w:rsid w:val="00352B56"/>
    <w:rsid w:val="00356EF5"/>
    <w:rsid w:val="00363D4A"/>
    <w:rsid w:val="00367561"/>
    <w:rsid w:val="003703B7"/>
    <w:rsid w:val="0037253A"/>
    <w:rsid w:val="00372FDD"/>
    <w:rsid w:val="00374516"/>
    <w:rsid w:val="00383B1B"/>
    <w:rsid w:val="003A3EAE"/>
    <w:rsid w:val="003D43E8"/>
    <w:rsid w:val="003F033C"/>
    <w:rsid w:val="0040567C"/>
    <w:rsid w:val="004219AA"/>
    <w:rsid w:val="0042463D"/>
    <w:rsid w:val="004266A2"/>
    <w:rsid w:val="0043241B"/>
    <w:rsid w:val="0043384B"/>
    <w:rsid w:val="00437A55"/>
    <w:rsid w:val="00441F71"/>
    <w:rsid w:val="00457084"/>
    <w:rsid w:val="00457539"/>
    <w:rsid w:val="00470D90"/>
    <w:rsid w:val="004716B4"/>
    <w:rsid w:val="0048107B"/>
    <w:rsid w:val="00482FF6"/>
    <w:rsid w:val="004A5866"/>
    <w:rsid w:val="004B1AFB"/>
    <w:rsid w:val="004B56A6"/>
    <w:rsid w:val="004D0865"/>
    <w:rsid w:val="004F4613"/>
    <w:rsid w:val="004F73A9"/>
    <w:rsid w:val="00530030"/>
    <w:rsid w:val="005509A2"/>
    <w:rsid w:val="00552E0A"/>
    <w:rsid w:val="0056140E"/>
    <w:rsid w:val="00562460"/>
    <w:rsid w:val="00562FDC"/>
    <w:rsid w:val="00572003"/>
    <w:rsid w:val="00584D91"/>
    <w:rsid w:val="005902F9"/>
    <w:rsid w:val="00592023"/>
    <w:rsid w:val="0059609C"/>
    <w:rsid w:val="005A12CA"/>
    <w:rsid w:val="005A381D"/>
    <w:rsid w:val="005A49D9"/>
    <w:rsid w:val="005A4DBD"/>
    <w:rsid w:val="005A5E96"/>
    <w:rsid w:val="005C139A"/>
    <w:rsid w:val="005F602A"/>
    <w:rsid w:val="005F6078"/>
    <w:rsid w:val="006037EB"/>
    <w:rsid w:val="00606A1A"/>
    <w:rsid w:val="0063094C"/>
    <w:rsid w:val="006342E6"/>
    <w:rsid w:val="00641972"/>
    <w:rsid w:val="00642816"/>
    <w:rsid w:val="00650614"/>
    <w:rsid w:val="0067395C"/>
    <w:rsid w:val="0068755A"/>
    <w:rsid w:val="006A4F37"/>
    <w:rsid w:val="006B2961"/>
    <w:rsid w:val="006B7DE7"/>
    <w:rsid w:val="006C3372"/>
    <w:rsid w:val="006D2BCA"/>
    <w:rsid w:val="006D3DAA"/>
    <w:rsid w:val="006E5DED"/>
    <w:rsid w:val="006F1913"/>
    <w:rsid w:val="0070237C"/>
    <w:rsid w:val="00712AF9"/>
    <w:rsid w:val="0072403A"/>
    <w:rsid w:val="007252B8"/>
    <w:rsid w:val="0073144E"/>
    <w:rsid w:val="00742EBC"/>
    <w:rsid w:val="00743D88"/>
    <w:rsid w:val="0075303F"/>
    <w:rsid w:val="0075739C"/>
    <w:rsid w:val="00783BF8"/>
    <w:rsid w:val="00784EA4"/>
    <w:rsid w:val="0079069D"/>
    <w:rsid w:val="007A05ED"/>
    <w:rsid w:val="007B7138"/>
    <w:rsid w:val="007C50CB"/>
    <w:rsid w:val="007E340B"/>
    <w:rsid w:val="007F2441"/>
    <w:rsid w:val="007F4B57"/>
    <w:rsid w:val="00810687"/>
    <w:rsid w:val="008131FB"/>
    <w:rsid w:val="00814B20"/>
    <w:rsid w:val="008240F2"/>
    <w:rsid w:val="0082441B"/>
    <w:rsid w:val="00867B6F"/>
    <w:rsid w:val="008700C0"/>
    <w:rsid w:val="00874A6A"/>
    <w:rsid w:val="00877141"/>
    <w:rsid w:val="008802DE"/>
    <w:rsid w:val="00884156"/>
    <w:rsid w:val="00884ECA"/>
    <w:rsid w:val="008A2F47"/>
    <w:rsid w:val="008A3DE5"/>
    <w:rsid w:val="008A3F9A"/>
    <w:rsid w:val="008C0A50"/>
    <w:rsid w:val="008C180D"/>
    <w:rsid w:val="008C5B23"/>
    <w:rsid w:val="008D152C"/>
    <w:rsid w:val="009038B8"/>
    <w:rsid w:val="009043AC"/>
    <w:rsid w:val="009100D1"/>
    <w:rsid w:val="00927DEB"/>
    <w:rsid w:val="00940C38"/>
    <w:rsid w:val="00944ADE"/>
    <w:rsid w:val="009567D5"/>
    <w:rsid w:val="0096534A"/>
    <w:rsid w:val="009666F1"/>
    <w:rsid w:val="00977FBC"/>
    <w:rsid w:val="009934D4"/>
    <w:rsid w:val="009A20AC"/>
    <w:rsid w:val="009A3053"/>
    <w:rsid w:val="009B0234"/>
    <w:rsid w:val="009C0ED2"/>
    <w:rsid w:val="009D3FA1"/>
    <w:rsid w:val="009D7898"/>
    <w:rsid w:val="009E3C8C"/>
    <w:rsid w:val="009F496C"/>
    <w:rsid w:val="00A2169C"/>
    <w:rsid w:val="00A33AD6"/>
    <w:rsid w:val="00A36EE9"/>
    <w:rsid w:val="00A3782F"/>
    <w:rsid w:val="00A408BA"/>
    <w:rsid w:val="00A47E5B"/>
    <w:rsid w:val="00A519A8"/>
    <w:rsid w:val="00A521FF"/>
    <w:rsid w:val="00A6230B"/>
    <w:rsid w:val="00A63C3B"/>
    <w:rsid w:val="00A67F3D"/>
    <w:rsid w:val="00A723BC"/>
    <w:rsid w:val="00A73374"/>
    <w:rsid w:val="00A75DBD"/>
    <w:rsid w:val="00AA7755"/>
    <w:rsid w:val="00AC0F18"/>
    <w:rsid w:val="00AC6D08"/>
    <w:rsid w:val="00AD48FF"/>
    <w:rsid w:val="00AE606B"/>
    <w:rsid w:val="00AF79D3"/>
    <w:rsid w:val="00B00C3B"/>
    <w:rsid w:val="00B03699"/>
    <w:rsid w:val="00B046CA"/>
    <w:rsid w:val="00B12368"/>
    <w:rsid w:val="00B21378"/>
    <w:rsid w:val="00B4465B"/>
    <w:rsid w:val="00B50C26"/>
    <w:rsid w:val="00B52F90"/>
    <w:rsid w:val="00B54C5E"/>
    <w:rsid w:val="00B66FB7"/>
    <w:rsid w:val="00B846B2"/>
    <w:rsid w:val="00B91C19"/>
    <w:rsid w:val="00B932F1"/>
    <w:rsid w:val="00BA64E5"/>
    <w:rsid w:val="00BC2B99"/>
    <w:rsid w:val="00BD5D50"/>
    <w:rsid w:val="00C0107E"/>
    <w:rsid w:val="00C07168"/>
    <w:rsid w:val="00C146E5"/>
    <w:rsid w:val="00C17A0F"/>
    <w:rsid w:val="00C2032A"/>
    <w:rsid w:val="00C303C4"/>
    <w:rsid w:val="00C338E5"/>
    <w:rsid w:val="00C34ACF"/>
    <w:rsid w:val="00C60A82"/>
    <w:rsid w:val="00C668F5"/>
    <w:rsid w:val="00C67F3F"/>
    <w:rsid w:val="00C83510"/>
    <w:rsid w:val="00C8454B"/>
    <w:rsid w:val="00C84C3B"/>
    <w:rsid w:val="00C940CB"/>
    <w:rsid w:val="00CA3770"/>
    <w:rsid w:val="00CB2C9B"/>
    <w:rsid w:val="00CB4289"/>
    <w:rsid w:val="00CB49A7"/>
    <w:rsid w:val="00CC6563"/>
    <w:rsid w:val="00CE1D2E"/>
    <w:rsid w:val="00CE2746"/>
    <w:rsid w:val="00CE2908"/>
    <w:rsid w:val="00CF01F8"/>
    <w:rsid w:val="00D07070"/>
    <w:rsid w:val="00D12026"/>
    <w:rsid w:val="00D173CD"/>
    <w:rsid w:val="00D27AB7"/>
    <w:rsid w:val="00D33585"/>
    <w:rsid w:val="00D33980"/>
    <w:rsid w:val="00D36C70"/>
    <w:rsid w:val="00D37646"/>
    <w:rsid w:val="00D40667"/>
    <w:rsid w:val="00D45421"/>
    <w:rsid w:val="00D60A40"/>
    <w:rsid w:val="00D82738"/>
    <w:rsid w:val="00DA32C9"/>
    <w:rsid w:val="00DC5D44"/>
    <w:rsid w:val="00DE2299"/>
    <w:rsid w:val="00DE4533"/>
    <w:rsid w:val="00DF087B"/>
    <w:rsid w:val="00DF1EFA"/>
    <w:rsid w:val="00E10739"/>
    <w:rsid w:val="00E11552"/>
    <w:rsid w:val="00E14B3E"/>
    <w:rsid w:val="00E14F57"/>
    <w:rsid w:val="00E17EC8"/>
    <w:rsid w:val="00E22DE5"/>
    <w:rsid w:val="00E303B5"/>
    <w:rsid w:val="00E326B7"/>
    <w:rsid w:val="00E35E0A"/>
    <w:rsid w:val="00E3754D"/>
    <w:rsid w:val="00E47439"/>
    <w:rsid w:val="00E47AFC"/>
    <w:rsid w:val="00E51455"/>
    <w:rsid w:val="00E5157E"/>
    <w:rsid w:val="00E6534E"/>
    <w:rsid w:val="00E65784"/>
    <w:rsid w:val="00E70984"/>
    <w:rsid w:val="00E91010"/>
    <w:rsid w:val="00E94BC1"/>
    <w:rsid w:val="00EB31A3"/>
    <w:rsid w:val="00EB48C0"/>
    <w:rsid w:val="00EB61A0"/>
    <w:rsid w:val="00EC6328"/>
    <w:rsid w:val="00ED3E48"/>
    <w:rsid w:val="00EF53DC"/>
    <w:rsid w:val="00F0170A"/>
    <w:rsid w:val="00F1634A"/>
    <w:rsid w:val="00F17FAB"/>
    <w:rsid w:val="00F21457"/>
    <w:rsid w:val="00F43862"/>
    <w:rsid w:val="00F45E72"/>
    <w:rsid w:val="00F50FC9"/>
    <w:rsid w:val="00F530FA"/>
    <w:rsid w:val="00F641BE"/>
    <w:rsid w:val="00F645A6"/>
    <w:rsid w:val="00F77120"/>
    <w:rsid w:val="00F77870"/>
    <w:rsid w:val="00F82B34"/>
    <w:rsid w:val="00F82D0B"/>
    <w:rsid w:val="00F87CD8"/>
    <w:rsid w:val="00F9774D"/>
    <w:rsid w:val="00FA1DF2"/>
    <w:rsid w:val="00FC2B69"/>
    <w:rsid w:val="00FD10C4"/>
    <w:rsid w:val="00FE2D8F"/>
    <w:rsid w:val="00FE439A"/>
    <w:rsid w:val="00FE66C8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6619-B9DC-4D63-B418-4B9BB35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5E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606B"/>
    <w:rPr>
      <w:b/>
      <w:bCs/>
    </w:rPr>
  </w:style>
  <w:style w:type="character" w:customStyle="1" w:styleId="colorfilologia">
    <w:name w:val="color_filologia"/>
    <w:basedOn w:val="Domylnaczcionkaakapitu"/>
    <w:rsid w:val="0065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BC432A78</Template>
  <TotalTime>7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34</cp:revision>
  <dcterms:created xsi:type="dcterms:W3CDTF">2019-04-08T09:37:00Z</dcterms:created>
  <dcterms:modified xsi:type="dcterms:W3CDTF">2019-04-08T09:43:00Z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