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1F" w:rsidRPr="008E138C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631B1F" w:rsidRPr="008E138C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631B1F" w:rsidRPr="008E138C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631B1F" w:rsidRPr="00631B1F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 w:rsidRPr="00631B1F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631B1F" w:rsidRPr="00631B1F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 w:rsidRPr="00631B1F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631B1F" w:rsidRPr="00631B1F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</w:rPr>
      </w:pPr>
      <w:r w:rsidRPr="00631B1F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:rsidR="00631B1F" w:rsidRPr="008E138C" w:rsidRDefault="00631B1F" w:rsidP="00631B1F">
      <w:pPr>
        <w:spacing w:before="0"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631B1F" w:rsidRPr="008E138C" w:rsidRDefault="00631B1F" w:rsidP="00631B1F">
      <w:pPr>
        <w:spacing w:before="0"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9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631B1F" w:rsidRPr="008E138C" w:rsidRDefault="00631B1F" w:rsidP="00631B1F">
      <w:pPr>
        <w:spacing w:before="0"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631B1F" w:rsidRPr="008E138C" w:rsidRDefault="00631B1F" w:rsidP="00631B1F">
      <w:pPr>
        <w:spacing w:before="0" w:after="0"/>
        <w:rPr>
          <w:rFonts w:ascii="Calibri" w:hAnsi="Calibri" w:cs="Calibri"/>
          <w:sz w:val="20"/>
          <w:szCs w:val="20"/>
          <w:lang w:val="en-US"/>
        </w:rPr>
      </w:pPr>
    </w:p>
    <w:p w:rsidR="00631B1F" w:rsidRDefault="00631B1F" w:rsidP="00631B1F">
      <w:pPr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Gdańsk 21.03.2019</w:t>
      </w:r>
    </w:p>
    <w:p w:rsidR="00631B1F" w:rsidRDefault="00631B1F" w:rsidP="00631B1F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040DE" w:rsidRPr="00631B1F" w:rsidRDefault="00F040DE" w:rsidP="00631B1F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B1F">
        <w:rPr>
          <w:rFonts w:asciiTheme="minorHAnsi" w:hAnsiTheme="minorHAnsi" w:cstheme="minorHAnsi"/>
          <w:b/>
          <w:sz w:val="24"/>
          <w:szCs w:val="24"/>
        </w:rPr>
        <w:t>Informacja prasowa</w:t>
      </w:r>
    </w:p>
    <w:p w:rsidR="00631B1F" w:rsidRPr="00631B1F" w:rsidRDefault="00631B1F" w:rsidP="00631B1F">
      <w:pPr>
        <w:pStyle w:val="Podtytu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7B488C" w:rsidRPr="00631B1F" w:rsidRDefault="000975A2" w:rsidP="00631B1F">
      <w:pPr>
        <w:pStyle w:val="Podtytu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1B1F">
        <w:rPr>
          <w:rFonts w:asciiTheme="minorHAnsi" w:hAnsiTheme="minorHAnsi" w:cstheme="minorHAnsi"/>
          <w:b/>
          <w:color w:val="auto"/>
          <w:sz w:val="24"/>
          <w:szCs w:val="24"/>
        </w:rPr>
        <w:t xml:space="preserve">Spotkania i warsztaty z ekspertami Santander </w:t>
      </w:r>
      <w:r w:rsidR="00631B1F" w:rsidRPr="00631B1F">
        <w:rPr>
          <w:rFonts w:asciiTheme="minorHAnsi" w:hAnsiTheme="minorHAnsi" w:cstheme="minorHAnsi"/>
          <w:b/>
          <w:color w:val="auto"/>
          <w:sz w:val="24"/>
          <w:szCs w:val="24"/>
        </w:rPr>
        <w:t xml:space="preserve">Bank Polska </w:t>
      </w:r>
      <w:r w:rsidRPr="00631B1F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na Uniwersytecie Gdańskim</w:t>
      </w:r>
    </w:p>
    <w:p w:rsidR="00631B1F" w:rsidRPr="00631B1F" w:rsidRDefault="00631B1F" w:rsidP="00631B1F">
      <w:pPr>
        <w:pStyle w:val="Podtytu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631B1F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„Economics &amp; Banking powered by Santander Universidades”</w:t>
      </w:r>
    </w:p>
    <w:p w:rsidR="000975A2" w:rsidRPr="00631B1F" w:rsidRDefault="000975A2" w:rsidP="00631B1F">
      <w:pPr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</w:p>
    <w:p w:rsidR="000975A2" w:rsidRPr="00631B1F" w:rsidRDefault="003D5987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W </w:t>
      </w:r>
      <w:r w:rsidR="00423933" w:rsidRPr="00631B1F">
        <w:rPr>
          <w:rFonts w:asciiTheme="minorHAnsi" w:hAnsiTheme="minorHAnsi" w:cstheme="minorHAnsi"/>
          <w:b/>
          <w:bCs/>
          <w:iCs/>
          <w:sz w:val="22"/>
        </w:rPr>
        <w:t>Sopocie na Wydziale Ekonomicznym Uniwersytetu Gdańskiego</w:t>
      </w:r>
      <w:r w:rsidR="00B2784D" w:rsidRPr="00631B1F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95351F" w:rsidRPr="00631B1F">
        <w:rPr>
          <w:rFonts w:asciiTheme="minorHAnsi" w:hAnsiTheme="minorHAnsi" w:cstheme="minorHAnsi"/>
          <w:b/>
          <w:bCs/>
          <w:iCs/>
          <w:sz w:val="22"/>
        </w:rPr>
        <w:t xml:space="preserve">w dniach 25-26 marca 2019 </w:t>
      </w:r>
      <w:r w:rsidR="00B2784D" w:rsidRPr="00631B1F">
        <w:rPr>
          <w:rFonts w:asciiTheme="minorHAnsi" w:hAnsiTheme="minorHAnsi" w:cstheme="minorHAnsi"/>
          <w:b/>
          <w:bCs/>
          <w:iCs/>
          <w:sz w:val="22"/>
        </w:rPr>
        <w:t>odbędzie</w:t>
      </w: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 się bezpłatn</w:t>
      </w:r>
      <w:r w:rsidR="00B2784D" w:rsidRPr="00631B1F">
        <w:rPr>
          <w:rFonts w:asciiTheme="minorHAnsi" w:hAnsiTheme="minorHAnsi" w:cstheme="minorHAnsi"/>
          <w:b/>
          <w:bCs/>
          <w:iCs/>
          <w:sz w:val="22"/>
        </w:rPr>
        <w:t>a konferencja</w:t>
      </w: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 i warsztaty w ramach </w:t>
      </w:r>
      <w:r w:rsidR="00423933" w:rsidRPr="00631B1F">
        <w:rPr>
          <w:rFonts w:asciiTheme="minorHAnsi" w:hAnsiTheme="minorHAnsi" w:cstheme="minorHAnsi"/>
          <w:b/>
          <w:bCs/>
          <w:iCs/>
          <w:sz w:val="22"/>
        </w:rPr>
        <w:t>Economics &amp; Banking powered by Santander Universidades,</w:t>
      </w:r>
      <w:r w:rsidR="000A2F23" w:rsidRPr="00631B1F">
        <w:rPr>
          <w:rFonts w:asciiTheme="minorHAnsi" w:hAnsiTheme="minorHAnsi" w:cstheme="minorHAnsi"/>
          <w:b/>
          <w:bCs/>
          <w:iCs/>
          <w:sz w:val="22"/>
        </w:rPr>
        <w:t xml:space="preserve"> w których mogą wziąć udział wszyscy studenci, niezależnie od uczelni i kierunku.</w:t>
      </w:r>
      <w:r w:rsidR="00423933" w:rsidRPr="00631B1F">
        <w:rPr>
          <w:rFonts w:asciiTheme="minorHAnsi" w:hAnsiTheme="minorHAnsi" w:cstheme="minorHAnsi"/>
          <w:b/>
          <w:bCs/>
          <w:iCs/>
          <w:sz w:val="22"/>
        </w:rPr>
        <w:t xml:space="preserve"> W trakcie </w:t>
      </w: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wydarzeń </w:t>
      </w:r>
      <w:r w:rsidR="000A2F23" w:rsidRPr="00631B1F">
        <w:rPr>
          <w:rFonts w:asciiTheme="minorHAnsi" w:hAnsiTheme="minorHAnsi" w:cstheme="minorHAnsi"/>
          <w:b/>
          <w:bCs/>
          <w:iCs/>
          <w:sz w:val="22"/>
        </w:rPr>
        <w:t xml:space="preserve">uczestnicy </w:t>
      </w:r>
      <w:r w:rsidR="001130ED" w:rsidRPr="00631B1F">
        <w:rPr>
          <w:rFonts w:asciiTheme="minorHAnsi" w:hAnsiTheme="minorHAnsi" w:cstheme="minorHAnsi"/>
          <w:b/>
          <w:bCs/>
          <w:iCs/>
          <w:sz w:val="22"/>
        </w:rPr>
        <w:t xml:space="preserve">m.in. </w:t>
      </w:r>
      <w:r w:rsidR="000A2F23" w:rsidRPr="00631B1F">
        <w:rPr>
          <w:rFonts w:asciiTheme="minorHAnsi" w:hAnsiTheme="minorHAnsi" w:cstheme="minorHAnsi"/>
          <w:b/>
          <w:bCs/>
          <w:iCs/>
          <w:sz w:val="22"/>
        </w:rPr>
        <w:t>posłuchają wykładów</w:t>
      </w:r>
      <w:r w:rsidR="001130ED" w:rsidRPr="00631B1F">
        <w:rPr>
          <w:rFonts w:asciiTheme="minorHAnsi" w:hAnsiTheme="minorHAnsi" w:cstheme="minorHAnsi"/>
          <w:b/>
          <w:bCs/>
          <w:iCs/>
          <w:sz w:val="22"/>
        </w:rPr>
        <w:t xml:space="preserve"> na temat </w:t>
      </w:r>
      <w:r w:rsidR="00423933" w:rsidRPr="00631B1F">
        <w:rPr>
          <w:rFonts w:asciiTheme="minorHAnsi" w:hAnsiTheme="minorHAnsi" w:cstheme="minorHAnsi"/>
          <w:b/>
          <w:bCs/>
          <w:iCs/>
          <w:sz w:val="22"/>
        </w:rPr>
        <w:t>płatności mobilnych, projektowania usług skoncentrowanych na kliencie</w:t>
      </w:r>
      <w:r w:rsidR="001130ED" w:rsidRPr="00631B1F">
        <w:rPr>
          <w:rFonts w:asciiTheme="minorHAnsi" w:hAnsiTheme="minorHAnsi" w:cstheme="minorHAnsi"/>
          <w:b/>
          <w:bCs/>
          <w:iCs/>
          <w:sz w:val="22"/>
        </w:rPr>
        <w:t xml:space="preserve"> oraz dowiedzą się</w:t>
      </w:r>
      <w:r w:rsidR="000B6AB5" w:rsidRPr="00631B1F">
        <w:rPr>
          <w:rFonts w:asciiTheme="minorHAnsi" w:hAnsiTheme="minorHAnsi" w:cstheme="minorHAnsi"/>
          <w:b/>
          <w:bCs/>
          <w:iCs/>
          <w:sz w:val="22"/>
        </w:rPr>
        <w:t>,</w:t>
      </w:r>
      <w:r w:rsidR="001130ED" w:rsidRPr="00631B1F">
        <w:rPr>
          <w:rFonts w:asciiTheme="minorHAnsi" w:hAnsiTheme="minorHAnsi" w:cstheme="minorHAnsi"/>
          <w:b/>
          <w:bCs/>
          <w:iCs/>
          <w:sz w:val="22"/>
        </w:rPr>
        <w:t xml:space="preserve"> jak </w:t>
      </w:r>
      <w:r w:rsidR="000A2F23" w:rsidRPr="00631B1F">
        <w:rPr>
          <w:rFonts w:asciiTheme="minorHAnsi" w:hAnsiTheme="minorHAnsi" w:cstheme="minorHAnsi"/>
          <w:b/>
          <w:bCs/>
          <w:iCs/>
          <w:sz w:val="22"/>
        </w:rPr>
        <w:t>pracować zgodnie z metodologią Agile</w:t>
      </w:r>
      <w:r w:rsidR="001130ED" w:rsidRPr="00631B1F">
        <w:rPr>
          <w:rFonts w:asciiTheme="minorHAnsi" w:hAnsiTheme="minorHAnsi" w:cstheme="minorHAnsi"/>
          <w:b/>
          <w:bCs/>
          <w:iCs/>
          <w:sz w:val="22"/>
        </w:rPr>
        <w:t xml:space="preserve">. </w:t>
      </w:r>
      <w:r w:rsidR="0095351F" w:rsidRPr="00631B1F">
        <w:rPr>
          <w:rFonts w:asciiTheme="minorHAnsi" w:hAnsiTheme="minorHAnsi" w:cstheme="minorHAnsi"/>
          <w:b/>
          <w:bCs/>
          <w:iCs/>
          <w:sz w:val="22"/>
        </w:rPr>
        <w:t xml:space="preserve">25 marca </w:t>
      </w:r>
      <w:r w:rsidR="00631B1F" w:rsidRPr="00631B1F">
        <w:rPr>
          <w:rFonts w:asciiTheme="minorHAnsi" w:hAnsiTheme="minorHAnsi" w:cstheme="minorHAnsi"/>
          <w:b/>
          <w:bCs/>
          <w:iCs/>
          <w:sz w:val="22"/>
        </w:rPr>
        <w:t xml:space="preserve">2019 </w:t>
      </w:r>
      <w:r w:rsidR="0095351F" w:rsidRPr="00631B1F">
        <w:rPr>
          <w:rFonts w:asciiTheme="minorHAnsi" w:hAnsiTheme="minorHAnsi" w:cstheme="minorHAnsi"/>
          <w:b/>
          <w:bCs/>
          <w:iCs/>
          <w:sz w:val="22"/>
        </w:rPr>
        <w:t xml:space="preserve">na Uniwersytecie Gdańskim zostanie także podpisana umowa o współpracy pomiędzy </w:t>
      </w:r>
      <w:r w:rsidR="0095351F" w:rsidRPr="00631B1F">
        <w:rPr>
          <w:rFonts w:asciiTheme="minorHAnsi" w:hAnsiTheme="minorHAnsi" w:cstheme="minorHAnsi"/>
          <w:b/>
          <w:sz w:val="22"/>
        </w:rPr>
        <w:t xml:space="preserve">Santander Bank Polska S.A. </w:t>
      </w:r>
      <w:r w:rsidR="0095351F" w:rsidRPr="00631B1F">
        <w:rPr>
          <w:rFonts w:asciiTheme="minorHAnsi" w:hAnsiTheme="minorHAnsi" w:cstheme="minorHAnsi"/>
          <w:b/>
          <w:sz w:val="22"/>
        </w:rPr>
        <w:t xml:space="preserve">i Uniwersytetem Gdańskim. </w:t>
      </w:r>
    </w:p>
    <w:p w:rsidR="00D965A1" w:rsidRPr="00631B1F" w:rsidRDefault="00D965A1" w:rsidP="00631B1F">
      <w:pPr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Czas 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- </w:t>
      </w:r>
      <w:r w:rsidRPr="00631B1F">
        <w:rPr>
          <w:rFonts w:asciiTheme="minorHAnsi" w:hAnsiTheme="minorHAnsi" w:cstheme="minorHAnsi"/>
          <w:bCs/>
          <w:iCs/>
          <w:sz w:val="22"/>
        </w:rPr>
        <w:t>25 i 26 marca 2019 r. Otwarcie konferencji 25 marca o godzinie 10:15.</w:t>
      </w: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>Miejsce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 - Wydział Ekonomiczny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 Uniwersytetu Gdańskiego w Sopocie. Otwarcie konferencji 25 marca o godzinie 10:15.</w:t>
      </w: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>Szczegółowy program i rejestracja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 są dostępne pod linkiem: </w:t>
      </w:r>
      <w:hyperlink r:id="rId10" w:history="1">
        <w:r w:rsidRPr="00631B1F">
          <w:rPr>
            <w:rFonts w:asciiTheme="minorHAnsi" w:hAnsiTheme="minorHAnsi" w:cstheme="minorHAnsi"/>
            <w:bCs/>
            <w:iCs/>
            <w:sz w:val="22"/>
          </w:rPr>
          <w:t>https://santander.pl/santanderuniversidades-pl/economybanking.html</w:t>
        </w:r>
      </w:hyperlink>
      <w:r w:rsidRPr="00631B1F">
        <w:rPr>
          <w:rFonts w:asciiTheme="minorHAnsi" w:hAnsiTheme="minorHAnsi" w:cstheme="minorHAnsi"/>
          <w:bCs/>
          <w:iCs/>
          <w:sz w:val="22"/>
        </w:rPr>
        <w:t xml:space="preserve"> </w:t>
      </w: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Zapraszamy do strony wydarzenia na Facebooku Wydziału Ekonomicznego pod linkiem: </w:t>
      </w:r>
      <w:hyperlink r:id="rId11" w:history="1">
        <w:r w:rsidRPr="00631B1F">
          <w:rPr>
            <w:rFonts w:asciiTheme="minorHAnsi" w:hAnsiTheme="minorHAnsi" w:cstheme="minorHAnsi"/>
            <w:bCs/>
            <w:iCs/>
            <w:sz w:val="22"/>
          </w:rPr>
          <w:t>https://www.facebook.com/events/1128756680639809/</w:t>
        </w:r>
      </w:hyperlink>
      <w:r w:rsidRPr="00631B1F">
        <w:rPr>
          <w:rFonts w:asciiTheme="minorHAnsi" w:hAnsiTheme="minorHAnsi" w:cstheme="minorHAnsi"/>
          <w:bCs/>
          <w:iCs/>
          <w:sz w:val="22"/>
        </w:rPr>
        <w:t xml:space="preserve"> </w:t>
      </w: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zh-CN"/>
        </w:rPr>
      </w:pPr>
    </w:p>
    <w:p w:rsidR="000975A2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</w:p>
    <w:p w:rsidR="00631B1F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>25.03.2019, na Uniwersytecie Gdańskim zostanie podpisana umowa o współpracy</w:t>
      </w:r>
      <w:r w:rsidR="00631B1F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="00631B1F" w:rsidRPr="00631B1F">
        <w:rPr>
          <w:rFonts w:asciiTheme="minorHAnsi" w:hAnsiTheme="minorHAnsi" w:cstheme="minorHAnsi"/>
          <w:bCs/>
          <w:iCs/>
          <w:sz w:val="22"/>
        </w:rPr>
        <w:t xml:space="preserve">pomiędzy </w:t>
      </w:r>
      <w:r w:rsidR="00631B1F" w:rsidRPr="00631B1F">
        <w:rPr>
          <w:rFonts w:asciiTheme="minorHAnsi" w:hAnsiTheme="minorHAnsi" w:cstheme="minorHAnsi"/>
          <w:sz w:val="22"/>
        </w:rPr>
        <w:t xml:space="preserve">Santander Bank Polska S.A. i Uniwersytetem Gdańskim. </w:t>
      </w:r>
      <w:r w:rsidR="00631B1F" w:rsidRPr="00631B1F">
        <w:rPr>
          <w:rFonts w:asciiTheme="minorHAnsi" w:hAnsiTheme="minorHAnsi" w:cstheme="minorHAnsi"/>
          <w:sz w:val="22"/>
        </w:rPr>
        <w:t>G</w:t>
      </w:r>
      <w:r w:rsidR="00631B1F" w:rsidRPr="00631B1F">
        <w:rPr>
          <w:rFonts w:asciiTheme="minorHAnsi" w:hAnsiTheme="minorHAnsi" w:cstheme="minorHAnsi"/>
          <w:sz w:val="22"/>
        </w:rPr>
        <w:t>łówne obszary wspólnych</w:t>
      </w:r>
      <w:r w:rsidR="00631B1F" w:rsidRPr="00631B1F">
        <w:rPr>
          <w:rFonts w:asciiTheme="minorHAnsi" w:hAnsiTheme="minorHAnsi" w:cstheme="minorHAnsi"/>
          <w:bCs/>
          <w:iCs/>
          <w:sz w:val="22"/>
        </w:rPr>
        <w:t xml:space="preserve"> działań to m.in. </w:t>
      </w:r>
      <w:r w:rsidR="00631B1F" w:rsidRPr="00631B1F">
        <w:rPr>
          <w:rFonts w:asciiTheme="minorHAnsi" w:hAnsiTheme="minorHAnsi" w:cstheme="minorHAnsi"/>
          <w:sz w:val="22"/>
        </w:rPr>
        <w:t>w</w:t>
      </w:r>
      <w:r w:rsidR="00631B1F" w:rsidRPr="00631B1F">
        <w:rPr>
          <w:rFonts w:asciiTheme="minorHAnsi" w:hAnsiTheme="minorHAnsi" w:cstheme="minorHAnsi"/>
          <w:sz w:val="22"/>
        </w:rPr>
        <w:t>spółpraca  w zakresie rozwoju nowych technologii, wspierania kultury przedsiębiorczości, nawiązywania kontaktów międzynarodowych, badań naukowych, wsparcia merytorycznego dla społeczności Uczelni oraz organizacji staży dla studentów w banku</w:t>
      </w:r>
      <w:r w:rsidR="00631B1F" w:rsidRPr="00631B1F">
        <w:rPr>
          <w:rFonts w:asciiTheme="minorHAnsi" w:hAnsiTheme="minorHAnsi" w:cstheme="minorHAnsi"/>
          <w:sz w:val="22"/>
        </w:rPr>
        <w:t xml:space="preserve">. </w:t>
      </w: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 xml:space="preserve">Informacja i zaproszenie od organizatorów na </w:t>
      </w:r>
      <w:r w:rsidRPr="00631B1F">
        <w:rPr>
          <w:rFonts w:asciiTheme="minorHAnsi" w:hAnsiTheme="minorHAnsi" w:cstheme="minorHAnsi"/>
          <w:b/>
          <w:bCs/>
          <w:iCs/>
          <w:sz w:val="22"/>
        </w:rPr>
        <w:t>Economics &amp; Banking powered by Santander Universidades</w:t>
      </w:r>
      <w:r w:rsidRPr="00631B1F">
        <w:rPr>
          <w:rFonts w:asciiTheme="minorHAnsi" w:hAnsiTheme="minorHAnsi" w:cstheme="minorHAnsi"/>
          <w:b/>
          <w:bCs/>
          <w:iCs/>
          <w:sz w:val="22"/>
        </w:rPr>
        <w:t>:</w:t>
      </w: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</w:p>
    <w:p w:rsidR="00D965A1" w:rsidRPr="00631B1F" w:rsidRDefault="00D965A1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/>
          <w:bCs/>
          <w:iCs/>
          <w:sz w:val="22"/>
        </w:rPr>
      </w:pPr>
      <w:r w:rsidRPr="00631B1F">
        <w:rPr>
          <w:rFonts w:asciiTheme="minorHAnsi" w:hAnsiTheme="minorHAnsi" w:cstheme="minorHAnsi"/>
          <w:b/>
          <w:bCs/>
          <w:iCs/>
          <w:sz w:val="22"/>
        </w:rPr>
        <w:t>Nauka, zabawa i nowe znajomości</w:t>
      </w:r>
    </w:p>
    <w:p w:rsidR="00631B1F" w:rsidRPr="00631B1F" w:rsidRDefault="00631B1F" w:rsidP="00631B1F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</w:p>
    <w:p w:rsidR="006964CC" w:rsidRPr="00631B1F" w:rsidRDefault="004D7980" w:rsidP="00631B1F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W dniu 25 marca </w:t>
      </w:r>
      <w:r w:rsidR="000B6AB5" w:rsidRPr="00631B1F">
        <w:rPr>
          <w:rFonts w:asciiTheme="minorHAnsi" w:hAnsiTheme="minorHAnsi" w:cstheme="minorHAnsi"/>
          <w:bCs/>
          <w:iCs/>
          <w:sz w:val="22"/>
        </w:rPr>
        <w:t xml:space="preserve">2019 r. </w:t>
      </w:r>
      <w:r w:rsidR="00D965A1" w:rsidRPr="00631B1F">
        <w:rPr>
          <w:rFonts w:asciiTheme="minorHAnsi" w:hAnsiTheme="minorHAnsi" w:cstheme="minorHAnsi"/>
          <w:bCs/>
          <w:iCs/>
          <w:sz w:val="22"/>
        </w:rPr>
        <w:t>odbędzie s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ię wykład przedstawicieli: VISA, </w:t>
      </w:r>
      <w:r w:rsidR="006634D7" w:rsidRPr="00631B1F">
        <w:rPr>
          <w:rFonts w:asciiTheme="minorHAnsi" w:hAnsiTheme="minorHAnsi" w:cstheme="minorHAnsi"/>
          <w:bCs/>
          <w:iCs/>
          <w:sz w:val="22"/>
        </w:rPr>
        <w:t xml:space="preserve">Garmin, 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>Polski Standard Płatności, Fitbit oraz Santander Bank Polska.</w:t>
      </w:r>
      <w:r w:rsidR="00103025" w:rsidRPr="00631B1F">
        <w:rPr>
          <w:rFonts w:asciiTheme="minorHAnsi" w:hAnsiTheme="minorHAnsi" w:cstheme="minorHAnsi"/>
          <w:bCs/>
          <w:iCs/>
          <w:sz w:val="22"/>
        </w:rPr>
        <w:t xml:space="preserve"> Tematem przewodnim będą innowacje w bankowości, płatności mobilne (kartą, BLIKIEM, Fitbit Pay). Już dziś apli</w:t>
      </w:r>
      <w:r w:rsidR="008C4801" w:rsidRPr="00631B1F">
        <w:rPr>
          <w:rFonts w:asciiTheme="minorHAnsi" w:hAnsiTheme="minorHAnsi" w:cstheme="minorHAnsi"/>
          <w:sz w:val="22"/>
        </w:rPr>
        <w:t>kac</w:t>
      </w:r>
      <w:r w:rsidR="006964CC" w:rsidRPr="00631B1F">
        <w:rPr>
          <w:rFonts w:asciiTheme="minorHAnsi" w:hAnsiTheme="minorHAnsi" w:cstheme="minorHAnsi"/>
          <w:sz w:val="22"/>
        </w:rPr>
        <w:t xml:space="preserve">ja Santander mobile ułatwia codzienne życie, pomagając w zarządzaniu finansami – dzięki niej klienci mają stały dostęp do usług banku. Mogą kupić bilet komunikacji miejskiej, opłacić parking, zapłacić telefonem w sklepie, a także skorzystać z płatności BLIKIEM. W aplikacji można też łatwo wymienić walutę lub połączyć się z doradcą, który pomoże nam zastrzec dowód osobisty lub zamówić duplikat karty. Aplikacja Santander mobile jest dostępna dla osób z niepełnosprawnościami wzroku – podczas przeprowadzonego audytu otrzymała potwierdzenie zgodności z międzynarodowym standardem dostępności WCAG2.0. Każdego miesiąca z aplikacji korzysta ponad 1 mln klientów. </w:t>
      </w: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</w:p>
    <w:p w:rsidR="00B444DB" w:rsidRPr="00631B1F" w:rsidRDefault="004D7980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>Następnego dnia, 26 marca</w:t>
      </w:r>
      <w:r w:rsidR="00845D70" w:rsidRPr="00631B1F">
        <w:rPr>
          <w:rFonts w:asciiTheme="minorHAnsi" w:hAnsiTheme="minorHAnsi" w:cstheme="minorHAnsi"/>
          <w:bCs/>
          <w:iCs/>
          <w:sz w:val="22"/>
        </w:rPr>
        <w:t xml:space="preserve">, </w:t>
      </w:r>
      <w:r w:rsidR="00B444DB" w:rsidRPr="00631B1F">
        <w:rPr>
          <w:rFonts w:asciiTheme="minorHAnsi" w:hAnsiTheme="minorHAnsi" w:cstheme="minorHAnsi"/>
          <w:bCs/>
          <w:iCs/>
          <w:sz w:val="22"/>
        </w:rPr>
        <w:t>eksperci</w:t>
      </w:r>
      <w:r w:rsidR="00C714A0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Santander Bank Polska podczas czterech bloków warsztatów </w:t>
      </w:r>
      <w:r w:rsidR="00B444DB" w:rsidRPr="00631B1F">
        <w:rPr>
          <w:rFonts w:asciiTheme="minorHAnsi" w:hAnsiTheme="minorHAnsi" w:cstheme="minorHAnsi"/>
          <w:bCs/>
          <w:iCs/>
          <w:sz w:val="22"/>
        </w:rPr>
        <w:t xml:space="preserve">podzielą się wiedzą o innowacjach i </w:t>
      </w:r>
      <w:r w:rsidR="00D965A1" w:rsidRPr="00631B1F">
        <w:rPr>
          <w:rFonts w:asciiTheme="minorHAnsi" w:hAnsiTheme="minorHAnsi" w:cstheme="minorHAnsi"/>
          <w:bCs/>
          <w:iCs/>
          <w:sz w:val="22"/>
        </w:rPr>
        <w:t>tzw. „zwinnym pro</w:t>
      </w:r>
      <w:r w:rsidR="000A2F23" w:rsidRPr="00631B1F">
        <w:rPr>
          <w:rFonts w:asciiTheme="minorHAnsi" w:hAnsiTheme="minorHAnsi" w:cstheme="minorHAnsi"/>
          <w:bCs/>
          <w:iCs/>
          <w:sz w:val="22"/>
        </w:rPr>
        <w:t>wadzeniu projektów</w:t>
      </w:r>
      <w:r w:rsidR="00D965A1" w:rsidRPr="00631B1F">
        <w:rPr>
          <w:rFonts w:asciiTheme="minorHAnsi" w:hAnsiTheme="minorHAnsi" w:cstheme="minorHAnsi"/>
          <w:bCs/>
          <w:iCs/>
          <w:sz w:val="22"/>
        </w:rPr>
        <w:t>”</w:t>
      </w:r>
      <w:r w:rsidR="00B444DB" w:rsidRPr="00631B1F">
        <w:rPr>
          <w:rFonts w:asciiTheme="minorHAnsi" w:hAnsiTheme="minorHAnsi" w:cstheme="minorHAnsi"/>
          <w:bCs/>
          <w:iCs/>
          <w:sz w:val="22"/>
        </w:rPr>
        <w:t xml:space="preserve"> w metodologii Agile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. Dodatkowo </w:t>
      </w:r>
      <w:r w:rsidR="00DD378F" w:rsidRPr="00631B1F">
        <w:rPr>
          <w:rFonts w:asciiTheme="minorHAnsi" w:hAnsiTheme="minorHAnsi" w:cstheme="minorHAnsi"/>
          <w:bCs/>
          <w:iCs/>
          <w:sz w:val="22"/>
        </w:rPr>
        <w:t>studenci poznają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 jedną z metod design thinking (kreatywnego projek</w:t>
      </w:r>
      <w:r w:rsidR="00DD378F" w:rsidRPr="00631B1F">
        <w:rPr>
          <w:rFonts w:asciiTheme="minorHAnsi" w:hAnsiTheme="minorHAnsi" w:cstheme="minorHAnsi"/>
          <w:bCs/>
          <w:iCs/>
          <w:sz w:val="22"/>
        </w:rPr>
        <w:t>towania), dzięki której nauczą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 się wychodzić poza strefę własnego komfortu tworząc nowoczesne rozwiązania.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 xml:space="preserve"> Podczas następnego warsztatu</w:t>
      </w:r>
      <w:r w:rsidR="00DD378F" w:rsidRPr="00631B1F">
        <w:rPr>
          <w:rFonts w:asciiTheme="minorHAnsi" w:hAnsiTheme="minorHAnsi" w:cstheme="minorHAnsi"/>
          <w:bCs/>
          <w:iCs/>
          <w:sz w:val="22"/>
        </w:rPr>
        <w:t xml:space="preserve"> uczestnicy dowiedzą się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, czym jest marka osobista oraz dlaczego warto dbać o swój wizerunek w </w:t>
      </w:r>
      <w:r w:rsidR="00845D70" w:rsidRPr="00631B1F">
        <w:rPr>
          <w:rFonts w:asciiTheme="minorHAnsi" w:hAnsiTheme="minorHAnsi" w:cstheme="minorHAnsi"/>
          <w:bCs/>
          <w:iCs/>
          <w:sz w:val="22"/>
        </w:rPr>
        <w:t>Internecie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>.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="00F64647" w:rsidRPr="00631B1F">
        <w:rPr>
          <w:rFonts w:asciiTheme="minorHAnsi" w:hAnsiTheme="minorHAnsi" w:cstheme="minorHAnsi"/>
          <w:bCs/>
          <w:iCs/>
          <w:sz w:val="22"/>
        </w:rPr>
        <w:t>Miejsca na</w:t>
      </w:r>
      <w:r w:rsidR="006964CC" w:rsidRPr="00631B1F">
        <w:rPr>
          <w:rFonts w:asciiTheme="minorHAnsi" w:hAnsiTheme="minorHAnsi" w:cstheme="minorHAnsi"/>
          <w:bCs/>
          <w:iCs/>
          <w:sz w:val="22"/>
        </w:rPr>
        <w:t xml:space="preserve"> warsztatach</w:t>
      </w:r>
      <w:r w:rsidR="00B444DB" w:rsidRPr="00631B1F">
        <w:rPr>
          <w:rFonts w:asciiTheme="minorHAnsi" w:hAnsiTheme="minorHAnsi" w:cstheme="minorHAnsi"/>
          <w:bCs/>
          <w:iCs/>
          <w:sz w:val="22"/>
        </w:rPr>
        <w:t xml:space="preserve"> są ograniczone. </w:t>
      </w: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</w:p>
    <w:p w:rsidR="00631B1F" w:rsidRP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- </w:t>
      </w:r>
      <w:r w:rsidRPr="00631B1F">
        <w:rPr>
          <w:rFonts w:asciiTheme="minorHAnsi" w:hAnsiTheme="minorHAnsi" w:cstheme="minorHAnsi"/>
          <w:bCs/>
          <w:i/>
          <w:iCs/>
          <w:sz w:val="22"/>
        </w:rPr>
        <w:t xml:space="preserve">Cieszymy się, że po raz kolejny będziemy mogli spotkać się z młodymi, ambitnymi ludźmi podczas konferencji i warsztatów Santander Universidades. To wydarzenie, które pozwala studentom zwiększyć swoje szanse na rynku pracy nie tylko poprzez merytorykę, ale również dzięki nawiązywaniu nowych znajomości 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– mówi </w:t>
      </w:r>
      <w:r w:rsidRPr="00631B1F">
        <w:rPr>
          <w:rFonts w:asciiTheme="minorHAnsi" w:hAnsiTheme="minorHAnsi" w:cstheme="minorHAnsi"/>
          <w:b/>
          <w:bCs/>
          <w:iCs/>
          <w:sz w:val="22"/>
        </w:rPr>
        <w:t>Wojciech Leśniewski, Dyrektor Santander Universidades w Polsce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.  </w:t>
      </w:r>
    </w:p>
    <w:p w:rsidR="00631B1F" w:rsidRPr="00631B1F" w:rsidRDefault="00631B1F" w:rsidP="00631B1F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31B1F" w:rsidRPr="00631B1F" w:rsidRDefault="00631B1F" w:rsidP="00631B1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31B1F">
        <w:rPr>
          <w:rFonts w:asciiTheme="minorHAnsi" w:hAnsiTheme="minorHAnsi" w:cstheme="minorHAnsi"/>
          <w:sz w:val="22"/>
        </w:rPr>
        <w:t xml:space="preserve">- </w:t>
      </w:r>
      <w:r w:rsidRPr="00631B1F">
        <w:rPr>
          <w:rFonts w:asciiTheme="minorHAnsi" w:hAnsiTheme="minorHAnsi" w:cstheme="minorHAnsi"/>
          <w:i/>
          <w:sz w:val="22"/>
        </w:rPr>
        <w:t xml:space="preserve">Z punktu widzenia uczelni jest to świetna okazja, aby umożliwić naszym studentom zapoznawanie się z nowymi technologiami informatycznymi i finansowymi w ramach wykładów i warsztatów Santander Universidades. Jest to również bezcenna inicjatywa w kontekście tworzenia szans na rynku pracy, budowania umiejętności merytorycznych, nawiązywania relacji oraz podnoszenia jakości studiowania dzięki relacjom z otoczeniem gospodarczym </w:t>
      </w:r>
      <w:r w:rsidRPr="00631B1F">
        <w:rPr>
          <w:rFonts w:asciiTheme="minorHAnsi" w:hAnsiTheme="minorHAnsi" w:cstheme="minorHAnsi"/>
          <w:sz w:val="22"/>
        </w:rPr>
        <w:t xml:space="preserve">– dodaje </w:t>
      </w:r>
      <w:r w:rsidRPr="00631B1F">
        <w:rPr>
          <w:rFonts w:asciiTheme="minorHAnsi" w:hAnsiTheme="minorHAnsi" w:cstheme="minorHAnsi"/>
          <w:b/>
          <w:sz w:val="22"/>
        </w:rPr>
        <w:t>dr Magdalena Markiewicz, prodziekan ds. rozwoju i współpracy z biznesem na Wydziale Ekonomicznym</w:t>
      </w:r>
      <w:r w:rsidRPr="00631B1F">
        <w:rPr>
          <w:rFonts w:asciiTheme="minorHAnsi" w:hAnsiTheme="minorHAnsi" w:cstheme="minorHAnsi"/>
          <w:sz w:val="22"/>
        </w:rPr>
        <w:t xml:space="preserve">.  </w:t>
      </w:r>
    </w:p>
    <w:p w:rsidR="00631B1F" w:rsidRDefault="00631B1F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</w:p>
    <w:p w:rsidR="00D965A1" w:rsidRPr="00631B1F" w:rsidRDefault="000975A2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Trzeba </w:t>
      </w:r>
      <w:r w:rsidR="00F64647" w:rsidRPr="00631B1F">
        <w:rPr>
          <w:rFonts w:asciiTheme="minorHAnsi" w:hAnsiTheme="minorHAnsi" w:cstheme="minorHAnsi"/>
          <w:bCs/>
          <w:iCs/>
          <w:sz w:val="22"/>
        </w:rPr>
        <w:t>rejestrować się</w:t>
      </w:r>
      <w:r w:rsidR="00B444DB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="00F64647" w:rsidRPr="00631B1F">
        <w:rPr>
          <w:rFonts w:asciiTheme="minorHAnsi" w:hAnsiTheme="minorHAnsi" w:cstheme="minorHAnsi"/>
          <w:bCs/>
          <w:iCs/>
          <w:sz w:val="22"/>
        </w:rPr>
        <w:t>pod linkiem:</w:t>
      </w:r>
      <w:r w:rsidR="00845D70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hyperlink r:id="rId12" w:history="1">
        <w:r w:rsidR="00845D70" w:rsidRPr="00631B1F">
          <w:rPr>
            <w:rStyle w:val="Hipercze"/>
            <w:rFonts w:asciiTheme="minorHAnsi" w:hAnsiTheme="minorHAnsi" w:cstheme="minorHAnsi"/>
            <w:bCs/>
            <w:iCs/>
            <w:color w:val="auto"/>
            <w:sz w:val="22"/>
          </w:rPr>
          <w:t>https://santander.pl/santanderuniversidades-pl/economybanking.html</w:t>
        </w:r>
      </w:hyperlink>
    </w:p>
    <w:p w:rsidR="00C714A0" w:rsidRPr="00631B1F" w:rsidRDefault="00C714A0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Dla uczestników </w:t>
      </w:r>
      <w:r w:rsidR="00DD378F" w:rsidRPr="00631B1F">
        <w:rPr>
          <w:rFonts w:asciiTheme="minorHAnsi" w:hAnsiTheme="minorHAnsi" w:cstheme="minorHAnsi"/>
          <w:bCs/>
          <w:iCs/>
          <w:sz w:val="22"/>
        </w:rPr>
        <w:t xml:space="preserve">konferencji </w:t>
      </w:r>
      <w:r w:rsidRPr="00631B1F">
        <w:rPr>
          <w:rFonts w:asciiTheme="minorHAnsi" w:hAnsiTheme="minorHAnsi" w:cstheme="minorHAnsi"/>
          <w:bCs/>
          <w:iCs/>
          <w:sz w:val="22"/>
        </w:rPr>
        <w:t>będzie dostępna także dodatkowa strefa atrakcji</w:t>
      </w:r>
      <w:r w:rsidR="000C1A0B" w:rsidRPr="00631B1F">
        <w:rPr>
          <w:rFonts w:asciiTheme="minorHAnsi" w:hAnsiTheme="minorHAnsi" w:cstheme="minorHAnsi"/>
          <w:bCs/>
          <w:iCs/>
          <w:sz w:val="22"/>
        </w:rPr>
        <w:t xml:space="preserve"> (m.in. testowanie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 xml:space="preserve"> p</w:t>
      </w:r>
      <w:r w:rsidR="00103025" w:rsidRPr="00631B1F">
        <w:rPr>
          <w:rFonts w:asciiTheme="minorHAnsi" w:hAnsiTheme="minorHAnsi" w:cstheme="minorHAnsi"/>
          <w:bCs/>
          <w:iCs/>
          <w:sz w:val="22"/>
        </w:rPr>
        <w:t xml:space="preserve">łatności </w:t>
      </w:r>
      <w:r w:rsidR="007B488C" w:rsidRPr="00631B1F">
        <w:rPr>
          <w:rFonts w:asciiTheme="minorHAnsi" w:hAnsiTheme="minorHAnsi" w:cstheme="minorHAnsi"/>
          <w:bCs/>
          <w:iCs/>
          <w:sz w:val="22"/>
        </w:rPr>
        <w:t xml:space="preserve">Garmin, </w:t>
      </w:r>
      <w:r w:rsidR="00103025" w:rsidRPr="00631B1F">
        <w:rPr>
          <w:rFonts w:asciiTheme="minorHAnsi" w:hAnsiTheme="minorHAnsi" w:cstheme="minorHAnsi"/>
          <w:bCs/>
          <w:iCs/>
          <w:sz w:val="22"/>
        </w:rPr>
        <w:t>Fitbit Pay, turniej g</w:t>
      </w:r>
      <w:r w:rsidR="00DD378F" w:rsidRPr="00631B1F">
        <w:rPr>
          <w:rFonts w:asciiTheme="minorHAnsi" w:hAnsiTheme="minorHAnsi" w:cstheme="minorHAnsi"/>
          <w:bCs/>
          <w:iCs/>
          <w:sz w:val="22"/>
        </w:rPr>
        <w:t xml:space="preserve">ier na konsoli </w:t>
      </w:r>
      <w:r w:rsidR="000C1A0B" w:rsidRPr="00631B1F">
        <w:rPr>
          <w:rFonts w:asciiTheme="minorHAnsi" w:hAnsiTheme="minorHAnsi" w:cstheme="minorHAnsi"/>
          <w:bCs/>
          <w:iCs/>
          <w:sz w:val="22"/>
        </w:rPr>
        <w:t>i słodki poczęstunek).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 </w:t>
      </w:r>
    </w:p>
    <w:p w:rsidR="00845D70" w:rsidRPr="00631B1F" w:rsidRDefault="00845D70" w:rsidP="00631B1F">
      <w:pPr>
        <w:tabs>
          <w:tab w:val="clear" w:pos="284"/>
          <w:tab w:val="clear" w:pos="567"/>
          <w:tab w:val="clear" w:pos="851"/>
          <w:tab w:val="clear" w:pos="1134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zh-CN"/>
        </w:rPr>
      </w:pPr>
    </w:p>
    <w:p w:rsidR="00C24C63" w:rsidRPr="00631B1F" w:rsidRDefault="00875414" w:rsidP="00631B1F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631B1F">
        <w:rPr>
          <w:rFonts w:asciiTheme="minorHAnsi" w:hAnsiTheme="minorHAnsi" w:cstheme="minorHAnsi"/>
          <w:bCs/>
          <w:iCs/>
          <w:sz w:val="22"/>
        </w:rPr>
        <w:t xml:space="preserve">Bezpłatna konferencja i warsztaty </w:t>
      </w:r>
      <w:r w:rsidR="008C4801" w:rsidRPr="00631B1F">
        <w:rPr>
          <w:rFonts w:asciiTheme="minorHAnsi" w:hAnsiTheme="minorHAnsi" w:cstheme="minorHAnsi"/>
          <w:b/>
          <w:bCs/>
          <w:iCs/>
          <w:sz w:val="22"/>
        </w:rPr>
        <w:t>Economics &amp; Banking powered by Santander Universidades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Pr="00631B1F">
        <w:rPr>
          <w:rFonts w:asciiTheme="minorHAnsi" w:hAnsiTheme="minorHAnsi" w:cstheme="minorHAnsi"/>
          <w:bCs/>
          <w:iCs/>
          <w:sz w:val="22"/>
        </w:rPr>
        <w:t xml:space="preserve">to 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>pierwsze organizowane wspólnie z Wydziałem Ekonomicznym UG w Sopocie</w:t>
      </w:r>
      <w:r w:rsidR="00330320" w:rsidRPr="00631B1F">
        <w:rPr>
          <w:rFonts w:asciiTheme="minorHAnsi" w:hAnsiTheme="minorHAnsi" w:cstheme="minorHAnsi"/>
          <w:bCs/>
          <w:iCs/>
          <w:sz w:val="22"/>
        </w:rPr>
        <w:t xml:space="preserve"> </w:t>
      </w:r>
      <w:r w:rsidR="008C4801" w:rsidRPr="00631B1F">
        <w:rPr>
          <w:rFonts w:asciiTheme="minorHAnsi" w:hAnsiTheme="minorHAnsi" w:cstheme="minorHAnsi"/>
          <w:bCs/>
          <w:iCs/>
          <w:sz w:val="22"/>
        </w:rPr>
        <w:t xml:space="preserve">i kolejne </w:t>
      </w:r>
      <w:r w:rsidR="00330320" w:rsidRPr="00631B1F">
        <w:rPr>
          <w:rFonts w:asciiTheme="minorHAnsi" w:hAnsiTheme="minorHAnsi" w:cstheme="minorHAnsi"/>
          <w:bCs/>
          <w:iCs/>
          <w:sz w:val="22"/>
        </w:rPr>
        <w:t xml:space="preserve">z wydarzeń organizowanych w ramach Santander Universidades, przez Santander Bank Polska, który w ramach Grupy już </w:t>
      </w:r>
      <w:r w:rsidR="000B6AB5" w:rsidRPr="00631B1F">
        <w:rPr>
          <w:rFonts w:asciiTheme="minorHAnsi" w:hAnsiTheme="minorHAnsi" w:cstheme="minorHAnsi"/>
          <w:bCs/>
          <w:iCs/>
          <w:sz w:val="22"/>
        </w:rPr>
        <w:t>od</w:t>
      </w:r>
      <w:r w:rsidR="00330320" w:rsidRPr="00631B1F">
        <w:rPr>
          <w:rFonts w:asciiTheme="minorHAnsi" w:hAnsiTheme="minorHAnsi" w:cstheme="minorHAnsi"/>
          <w:bCs/>
          <w:iCs/>
          <w:sz w:val="22"/>
        </w:rPr>
        <w:t xml:space="preserve"> 20 lat wspiera szkolnictwo wyższe i rozwój społeczności lokalnych na całym świecie aktywizując środowiska naukowe i tworząc platformę do ich integracji ze światem biznesu.</w:t>
      </w:r>
    </w:p>
    <w:p w:rsidR="00227ACF" w:rsidRPr="00631B1F" w:rsidRDefault="00227ACF" w:rsidP="00631B1F">
      <w:pPr>
        <w:pStyle w:val="adres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:rsidR="00631B1F" w:rsidRPr="00631B1F" w:rsidRDefault="00631B1F" w:rsidP="00631B1F">
      <w:pPr>
        <w:spacing w:before="0" w:after="0" w:line="24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631B1F" w:rsidRPr="00631B1F" w:rsidSect="00CE007F">
      <w:footerReference w:type="default" r:id="rId13"/>
      <w:pgSz w:w="11906" w:h="16838"/>
      <w:pgMar w:top="1021" w:right="1021" w:bottom="567" w:left="1021" w:header="85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FB" w:rsidRDefault="00DB77FB" w:rsidP="00EB7BC5">
      <w:pPr>
        <w:spacing w:before="0" w:after="0"/>
      </w:pPr>
      <w:r>
        <w:separator/>
      </w:r>
    </w:p>
  </w:endnote>
  <w:endnote w:type="continuationSeparator" w:id="0">
    <w:p w:rsidR="00DB77FB" w:rsidRDefault="00DB77FB" w:rsidP="00EB7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C7" w:rsidRDefault="00845D70" w:rsidP="00694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2320290</wp:posOffset>
              </wp:positionH>
              <wp:positionV relativeFrom="page">
                <wp:posOffset>9851390</wp:posOffset>
              </wp:positionV>
              <wp:extent cx="4602480" cy="5829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248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5B04" w:rsidRPr="005F0776" w:rsidRDefault="008E5B04" w:rsidP="008E5B04">
                          <w:pPr>
                            <w:pStyle w:val="przypis"/>
                          </w:pPr>
                          <w:r w:rsidRPr="005F0776">
                            <w:t>Santander Bank Polska S.A. z siedzibą w Warszawie, przy al. Jana Pawła II 17, 00-854 Warszawa, zarejestrowana w Sądzie Rejonowym dla m. st. Warszawy w Warszawie, XII Wydział Gospodarczy Krajowego Rejestru Sądowego pod numerem KRS 0000008723, utworzona na podstawie rozporządzenia Rady Ministrów z dnia 11 kwietnia 1988 r. w sprawie utworzenia Banku Zac</w:t>
                          </w:r>
                          <w:r>
                            <w:t>hodniego we Wrocławiu (Dz. U. z </w:t>
                          </w:r>
                          <w:r w:rsidRPr="005F0776">
                            <w:t xml:space="preserve">dnia 1 lipca 1988 r. Nr 21, poz. 142), NIP 896-000-56-73, REGON 930041341, o kapitale zakładowym i wpłaconym </w:t>
                          </w:r>
                          <w:r w:rsidR="00330320">
                            <w:t xml:space="preserve">1.020.883.050 </w:t>
                          </w:r>
                          <w:r w:rsidRPr="005F0776">
                            <w:t>zł. Infolinia 1 9999 – opłata za połączenie zgodna z taryfą danego operatora.</w:t>
                          </w:r>
                        </w:p>
                        <w:p w:rsidR="008E5B04" w:rsidRPr="005F0776" w:rsidRDefault="008E5B04" w:rsidP="008E5B04">
                          <w:pPr>
                            <w:pStyle w:val="przypis"/>
                          </w:pPr>
                        </w:p>
                        <w:p w:rsidR="009F00C2" w:rsidRPr="005F0776" w:rsidRDefault="009F00C2" w:rsidP="005F0776">
                          <w:pPr>
                            <w:pStyle w:val="przypi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2.7pt;margin-top:775.7pt;width:362.4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" filled="f" stroked="f">
              <v:path arrowok="t"/>
              <v:textbox inset="0,0,0,0">
                <w:txbxContent>
                  <w:p w:rsidR="008E5B04" w:rsidRPr="005F0776" w:rsidRDefault="008E5B04" w:rsidP="008E5B04">
                    <w:pPr>
                      <w:pStyle w:val="przypis"/>
                    </w:pPr>
                    <w:r w:rsidRPr="005F0776">
                      <w:t>Santander Bank Polska S.A. z siedzibą w Warszawie, przy al. Jana Pawła II 17, 00-854 Warszawa, zarejestrowana w Sądzie Rejonowym dla m. st. Warszawy w Warszawie, XII Wydział Gospodarczy Krajowego Rejestru Sądowego pod numerem KRS 0000008723, utworzona na podstawie rozporządzenia Rady Ministrów z dnia 11 kwietnia 1988 r. w sprawie utworzenia Banku Zac</w:t>
                    </w:r>
                    <w:r>
                      <w:t>hodniego we Wrocławiu (Dz. U. z </w:t>
                    </w:r>
                    <w:r w:rsidRPr="005F0776">
                      <w:t xml:space="preserve">dnia 1 lipca 1988 r. Nr 21, poz. 142), NIP 896-000-56-73, REGON 930041341, o kapitale zakładowym i wpłaconym </w:t>
                    </w:r>
                    <w:r w:rsidR="00330320">
                      <w:t xml:space="preserve">1.020.883.050 </w:t>
                    </w:r>
                    <w:r w:rsidRPr="005F0776">
                      <w:t>zł. Infolinia 1 9999 – opłata za połączenie zgodna z taryfą danego operatora.</w:t>
                    </w:r>
                  </w:p>
                  <w:p w:rsidR="008E5B04" w:rsidRPr="005F0776" w:rsidRDefault="008E5B04" w:rsidP="008E5B04">
                    <w:pPr>
                      <w:pStyle w:val="przypis"/>
                    </w:pPr>
                  </w:p>
                  <w:p w:rsidR="009F00C2" w:rsidRPr="005F0776" w:rsidRDefault="009F00C2" w:rsidP="005F0776">
                    <w:pPr>
                      <w:pStyle w:val="przypi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495F" w:rsidRPr="00C339BC"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-49051</wp:posOffset>
          </wp:positionH>
          <wp:positionV relativeFrom="paragraph">
            <wp:posOffset>249555</wp:posOffset>
          </wp:positionV>
          <wp:extent cx="1587500" cy="266065"/>
          <wp:effectExtent l="0" t="0" r="1270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9757409</wp:posOffset>
              </wp:positionV>
              <wp:extent cx="6285865" cy="0"/>
              <wp:effectExtent l="0" t="0" r="635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58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77EC6D" id="Łącznik prosty 6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0.2pt,768.3pt" to="545.1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" strokecolor="#6f7779 [3204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FB" w:rsidRDefault="00DB77FB" w:rsidP="00EB7BC5">
      <w:pPr>
        <w:spacing w:before="0" w:after="0"/>
      </w:pPr>
      <w:r>
        <w:separator/>
      </w:r>
    </w:p>
  </w:footnote>
  <w:footnote w:type="continuationSeparator" w:id="0">
    <w:p w:rsidR="00DB77FB" w:rsidRDefault="00DB77FB" w:rsidP="00EB7B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864"/>
    <w:multiLevelType w:val="hybridMultilevel"/>
    <w:tmpl w:val="D97A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FD8"/>
    <w:multiLevelType w:val="multilevel"/>
    <w:tmpl w:val="3D06971A"/>
    <w:lvl w:ilvl="0">
      <w:start w:val="1"/>
      <w:numFmt w:val="ordinal"/>
      <w:pStyle w:val="listawielopoziomowa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2" w15:restartNumberingAfterBreak="0">
    <w:nsid w:val="13130007"/>
    <w:multiLevelType w:val="multilevel"/>
    <w:tmpl w:val="27CAB510"/>
    <w:styleLink w:val="podstawowaSantander"/>
    <w:lvl w:ilvl="0">
      <w:start w:val="1"/>
      <w:numFmt w:val="ordinal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1A876696"/>
    <w:multiLevelType w:val="multilevel"/>
    <w:tmpl w:val="8E92F214"/>
    <w:numStyleLink w:val="bulety"/>
  </w:abstractNum>
  <w:abstractNum w:abstractNumId="4" w15:restartNumberingAfterBreak="0">
    <w:nsid w:val="24003BCF"/>
    <w:multiLevelType w:val="multilevel"/>
    <w:tmpl w:val="8E92F214"/>
    <w:numStyleLink w:val="bulety"/>
  </w:abstractNum>
  <w:abstractNum w:abstractNumId="5" w15:restartNumberingAfterBreak="0">
    <w:nsid w:val="411D29B5"/>
    <w:multiLevelType w:val="hybridMultilevel"/>
    <w:tmpl w:val="6C56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CBF"/>
    <w:multiLevelType w:val="multilevel"/>
    <w:tmpl w:val="C2B42F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7" w15:restartNumberingAfterBreak="0">
    <w:nsid w:val="5C340D77"/>
    <w:multiLevelType w:val="multilevel"/>
    <w:tmpl w:val="8E92F214"/>
    <w:styleLink w:val="bulety"/>
    <w:lvl w:ilvl="0">
      <w:start w:val="1"/>
      <w:numFmt w:val="bullet"/>
      <w:pStyle w:val="bullety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" w15:restartNumberingAfterBreak="0">
    <w:nsid w:val="60EE4A8E"/>
    <w:multiLevelType w:val="hybridMultilevel"/>
    <w:tmpl w:val="BCC6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7F00"/>
    <w:multiLevelType w:val="multilevel"/>
    <w:tmpl w:val="27CAB510"/>
    <w:numStyleLink w:val="podstawowaSantander"/>
  </w:abstractNum>
  <w:abstractNum w:abstractNumId="10" w15:restartNumberingAfterBreak="0">
    <w:nsid w:val="7A904577"/>
    <w:multiLevelType w:val="multilevel"/>
    <w:tmpl w:val="27CAB510"/>
    <w:numStyleLink w:val="podstawowaSantander"/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F"/>
    <w:rsid w:val="000260AE"/>
    <w:rsid w:val="00056AC7"/>
    <w:rsid w:val="00071EE9"/>
    <w:rsid w:val="000975A2"/>
    <w:rsid w:val="000A2F23"/>
    <w:rsid w:val="000B6AB5"/>
    <w:rsid w:val="000C1A0B"/>
    <w:rsid w:val="000D7915"/>
    <w:rsid w:val="00103025"/>
    <w:rsid w:val="001130ED"/>
    <w:rsid w:val="00122FE4"/>
    <w:rsid w:val="00151B8A"/>
    <w:rsid w:val="00164B01"/>
    <w:rsid w:val="001B21AE"/>
    <w:rsid w:val="001C286F"/>
    <w:rsid w:val="001E634B"/>
    <w:rsid w:val="00227ACF"/>
    <w:rsid w:val="00234847"/>
    <w:rsid w:val="0024111B"/>
    <w:rsid w:val="00256F68"/>
    <w:rsid w:val="002734E0"/>
    <w:rsid w:val="00290FA1"/>
    <w:rsid w:val="002E5FD1"/>
    <w:rsid w:val="0031587E"/>
    <w:rsid w:val="003209AC"/>
    <w:rsid w:val="00322D6E"/>
    <w:rsid w:val="00330320"/>
    <w:rsid w:val="00342262"/>
    <w:rsid w:val="00361F59"/>
    <w:rsid w:val="003A7CFC"/>
    <w:rsid w:val="003C1281"/>
    <w:rsid w:val="003C5AB3"/>
    <w:rsid w:val="003D5987"/>
    <w:rsid w:val="003F367B"/>
    <w:rsid w:val="00405CB0"/>
    <w:rsid w:val="00412C64"/>
    <w:rsid w:val="00423516"/>
    <w:rsid w:val="00423933"/>
    <w:rsid w:val="00432FDE"/>
    <w:rsid w:val="004377D2"/>
    <w:rsid w:val="00487738"/>
    <w:rsid w:val="004944F9"/>
    <w:rsid w:val="004A32F7"/>
    <w:rsid w:val="004C096D"/>
    <w:rsid w:val="004C0D70"/>
    <w:rsid w:val="004D7980"/>
    <w:rsid w:val="0051507C"/>
    <w:rsid w:val="00541B81"/>
    <w:rsid w:val="00557B3A"/>
    <w:rsid w:val="00591DA0"/>
    <w:rsid w:val="005B5A37"/>
    <w:rsid w:val="005F0776"/>
    <w:rsid w:val="00613529"/>
    <w:rsid w:val="00631B1F"/>
    <w:rsid w:val="00634F5E"/>
    <w:rsid w:val="006476CA"/>
    <w:rsid w:val="006634D7"/>
    <w:rsid w:val="006700C0"/>
    <w:rsid w:val="0067134A"/>
    <w:rsid w:val="00690F1D"/>
    <w:rsid w:val="006941BC"/>
    <w:rsid w:val="006964CC"/>
    <w:rsid w:val="006A230E"/>
    <w:rsid w:val="006A3771"/>
    <w:rsid w:val="006C64BA"/>
    <w:rsid w:val="006F1529"/>
    <w:rsid w:val="0072191D"/>
    <w:rsid w:val="00747263"/>
    <w:rsid w:val="00794676"/>
    <w:rsid w:val="007B06B7"/>
    <w:rsid w:val="007B488C"/>
    <w:rsid w:val="007C33ED"/>
    <w:rsid w:val="008306BF"/>
    <w:rsid w:val="00845648"/>
    <w:rsid w:val="00845D70"/>
    <w:rsid w:val="0086144C"/>
    <w:rsid w:val="00875414"/>
    <w:rsid w:val="00876F77"/>
    <w:rsid w:val="008C4801"/>
    <w:rsid w:val="008C495F"/>
    <w:rsid w:val="008E55EC"/>
    <w:rsid w:val="008E5B04"/>
    <w:rsid w:val="008F1625"/>
    <w:rsid w:val="008F46ED"/>
    <w:rsid w:val="009021C6"/>
    <w:rsid w:val="009242E8"/>
    <w:rsid w:val="009255D4"/>
    <w:rsid w:val="00936280"/>
    <w:rsid w:val="0095351F"/>
    <w:rsid w:val="009577B7"/>
    <w:rsid w:val="00961D49"/>
    <w:rsid w:val="0099706D"/>
    <w:rsid w:val="009A3F34"/>
    <w:rsid w:val="009C709A"/>
    <w:rsid w:val="009F00C2"/>
    <w:rsid w:val="009F537F"/>
    <w:rsid w:val="00A1357A"/>
    <w:rsid w:val="00A223D3"/>
    <w:rsid w:val="00A54B32"/>
    <w:rsid w:val="00A6463C"/>
    <w:rsid w:val="00A83A51"/>
    <w:rsid w:val="00B03146"/>
    <w:rsid w:val="00B243DC"/>
    <w:rsid w:val="00B2784D"/>
    <w:rsid w:val="00B444DB"/>
    <w:rsid w:val="00B80228"/>
    <w:rsid w:val="00BB1BE6"/>
    <w:rsid w:val="00BB72AD"/>
    <w:rsid w:val="00BB7540"/>
    <w:rsid w:val="00BC7750"/>
    <w:rsid w:val="00BD0733"/>
    <w:rsid w:val="00BD394B"/>
    <w:rsid w:val="00BF52B2"/>
    <w:rsid w:val="00C245C5"/>
    <w:rsid w:val="00C24C63"/>
    <w:rsid w:val="00C30562"/>
    <w:rsid w:val="00C339BC"/>
    <w:rsid w:val="00C714A0"/>
    <w:rsid w:val="00C82F3E"/>
    <w:rsid w:val="00CD1521"/>
    <w:rsid w:val="00CE007F"/>
    <w:rsid w:val="00D023E2"/>
    <w:rsid w:val="00D40A07"/>
    <w:rsid w:val="00D45AAC"/>
    <w:rsid w:val="00D52BD7"/>
    <w:rsid w:val="00D562AC"/>
    <w:rsid w:val="00D61D66"/>
    <w:rsid w:val="00D965A1"/>
    <w:rsid w:val="00DB77FB"/>
    <w:rsid w:val="00DC032A"/>
    <w:rsid w:val="00DD378F"/>
    <w:rsid w:val="00E00418"/>
    <w:rsid w:val="00E10E6A"/>
    <w:rsid w:val="00E36092"/>
    <w:rsid w:val="00E57283"/>
    <w:rsid w:val="00E60114"/>
    <w:rsid w:val="00E60EE0"/>
    <w:rsid w:val="00E73813"/>
    <w:rsid w:val="00EB4752"/>
    <w:rsid w:val="00EB7BC5"/>
    <w:rsid w:val="00F040DE"/>
    <w:rsid w:val="00F30902"/>
    <w:rsid w:val="00F42480"/>
    <w:rsid w:val="00F50321"/>
    <w:rsid w:val="00F63AA9"/>
    <w:rsid w:val="00F64647"/>
    <w:rsid w:val="00F7117B"/>
    <w:rsid w:val="00F833B1"/>
    <w:rsid w:val="00F917D0"/>
    <w:rsid w:val="00F930F5"/>
    <w:rsid w:val="00FA6F1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31DA9"/>
  <w15:docId w15:val="{46EDF393-B4A1-C746-A187-E2B47FB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6D"/>
    <w:pPr>
      <w:tabs>
        <w:tab w:val="left" w:pos="284"/>
        <w:tab w:val="left" w:pos="567"/>
        <w:tab w:val="left" w:pos="851"/>
        <w:tab w:val="left" w:pos="1134"/>
      </w:tabs>
      <w:spacing w:before="80" w:after="80" w:line="288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9255D4"/>
    <w:pPr>
      <w:spacing w:before="240" w:after="200"/>
      <w:outlineLvl w:val="0"/>
    </w:pPr>
    <w:rPr>
      <w:color w:val="EC0000" w:themeColor="text2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9255D4"/>
    <w:pPr>
      <w:spacing w:before="160" w:after="160"/>
      <w:outlineLvl w:val="1"/>
    </w:pPr>
    <w:rPr>
      <w:color w:val="EC0000" w:themeColor="text2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9255D4"/>
    <w:pPr>
      <w:spacing w:before="160" w:after="160"/>
      <w:outlineLvl w:val="2"/>
    </w:pPr>
    <w:rPr>
      <w:color w:val="EC0000" w:themeColor="text2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E00418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9255D4"/>
    <w:rPr>
      <w:rFonts w:ascii="Arial" w:hAnsi="Arial"/>
      <w:color w:val="EC0000" w:themeColor="text2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9255D4"/>
    <w:rPr>
      <w:rFonts w:ascii="Arial" w:hAnsi="Arial"/>
      <w:color w:val="EC0000" w:themeColor="text2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9255D4"/>
    <w:rPr>
      <w:rFonts w:ascii="Arial" w:hAnsi="Arial"/>
      <w:color w:val="EC0000" w:themeColor="text2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E00418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706D"/>
    <w:pPr>
      <w:spacing w:before="0" w:after="240" w:line="240" w:lineRule="auto"/>
      <w:contextualSpacing/>
    </w:pPr>
    <w:rPr>
      <w:rFonts w:eastAsiaTheme="majorEastAsia" w:cstheme="majorBidi"/>
      <w:color w:val="EC0000" w:themeColor="text2"/>
      <w:spacing w:val="10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706D"/>
    <w:rPr>
      <w:rFonts w:ascii="Arial" w:eastAsiaTheme="majorEastAsia" w:hAnsi="Arial" w:cstheme="majorBidi"/>
      <w:color w:val="EC0000" w:themeColor="text2"/>
      <w:spacing w:val="10"/>
      <w:sz w:val="48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9706D"/>
    <w:pPr>
      <w:spacing w:before="0" w:after="360"/>
      <w:contextualSpacing/>
    </w:pPr>
    <w:rPr>
      <w:color w:val="EC0000" w:themeColor="text2"/>
      <w:spacing w:val="10"/>
      <w:sz w:val="28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706D"/>
    <w:rPr>
      <w:rFonts w:ascii="Arial" w:hAnsi="Arial"/>
      <w:color w:val="EC0000" w:themeColor="text2"/>
      <w:spacing w:val="10"/>
      <w:sz w:val="28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Autospacing="0" w:afterLines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next w:val="Normalny"/>
    <w:link w:val="adresZnak"/>
    <w:autoRedefine/>
    <w:qFormat/>
    <w:rsid w:val="008E5B04"/>
    <w:pPr>
      <w:spacing w:before="0" w:after="0"/>
      <w:jc w:val="left"/>
    </w:pPr>
    <w:rPr>
      <w:color w:val="EC0000" w:themeColor="text2"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adresZnak">
    <w:name w:val="adres Znak"/>
    <w:basedOn w:val="Nagwek4Znak"/>
    <w:link w:val="adres"/>
    <w:rsid w:val="008E5B04"/>
    <w:rPr>
      <w:rFonts w:ascii="Arial" w:hAnsi="Arial"/>
      <w:b w:val="0"/>
      <w:color w:val="EC0000" w:themeColor="text2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Autospacing="0" w:afterLines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daneADRESOWE">
    <w:name w:val="daneADRESOWE"/>
    <w:basedOn w:val="Normalny"/>
    <w:qFormat/>
    <w:rsid w:val="006C64BA"/>
    <w:pPr>
      <w:spacing w:before="0" w:after="0" w:line="264" w:lineRule="auto"/>
    </w:pPr>
  </w:style>
  <w:style w:type="character" w:customStyle="1" w:styleId="s1">
    <w:name w:val="s1"/>
    <w:basedOn w:val="Domylnaczcionkaakapitu"/>
    <w:rsid w:val="006C64BA"/>
    <w:rPr>
      <w:rFonts w:ascii="Open Sans" w:hAnsi="Open Sans" w:hint="default"/>
      <w:sz w:val="12"/>
      <w:szCs w:val="12"/>
    </w:rPr>
  </w:style>
  <w:style w:type="paragraph" w:customStyle="1" w:styleId="p1">
    <w:name w:val="p1"/>
    <w:basedOn w:val="Normalny"/>
    <w:rsid w:val="00CE007F"/>
    <w:pPr>
      <w:tabs>
        <w:tab w:val="clear" w:pos="284"/>
        <w:tab w:val="clear" w:pos="567"/>
        <w:tab w:val="clear" w:pos="851"/>
        <w:tab w:val="clear" w:pos="1134"/>
      </w:tabs>
      <w:spacing w:before="0" w:after="0" w:line="330" w:lineRule="atLeast"/>
    </w:pPr>
    <w:rPr>
      <w:rFonts w:cs="Arial"/>
      <w:color w:val="FF2600"/>
      <w:sz w:val="36"/>
      <w:szCs w:val="36"/>
    </w:rPr>
  </w:style>
  <w:style w:type="paragraph" w:customStyle="1" w:styleId="srodTYTUL">
    <w:name w:val="srodTYTUL"/>
    <w:basedOn w:val="Normalny"/>
    <w:qFormat/>
    <w:rsid w:val="0099706D"/>
    <w:pPr>
      <w:tabs>
        <w:tab w:val="clear" w:pos="284"/>
        <w:tab w:val="clear" w:pos="567"/>
        <w:tab w:val="clear" w:pos="851"/>
        <w:tab w:val="clear" w:pos="1134"/>
      </w:tabs>
      <w:spacing w:before="240" w:after="120" w:line="240" w:lineRule="auto"/>
    </w:pPr>
    <w:rPr>
      <w:b/>
      <w:sz w:val="20"/>
      <w:szCs w:val="20"/>
    </w:rPr>
  </w:style>
  <w:style w:type="character" w:styleId="Hipercze">
    <w:name w:val="Hyperlink"/>
    <w:uiPriority w:val="99"/>
    <w:unhideWhenUsed/>
    <w:rsid w:val="009362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FA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FA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F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A1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A1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A1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A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5987"/>
    <w:pPr>
      <w:tabs>
        <w:tab w:val="clear" w:pos="284"/>
        <w:tab w:val="clear" w:pos="567"/>
        <w:tab w:val="clear" w:pos="851"/>
        <w:tab w:val="clear" w:pos="1134"/>
      </w:tabs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30320"/>
    <w:rPr>
      <w:color w:val="00000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ntander.pl/santanderuniversidades-pl/economybank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12875668063980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tander.pl/santanderuniversidades-pl/economyban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edu.pl/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Santander">
      <a:dk1>
        <a:sysClr val="windowText" lastClr="000000"/>
      </a:dk1>
      <a:lt1>
        <a:srgbClr val="FFFFFF"/>
      </a:lt1>
      <a:dk2>
        <a:srgbClr val="EC0000"/>
      </a:dk2>
      <a:lt2>
        <a:srgbClr val="DEEDF2"/>
      </a:lt2>
      <a:accent1>
        <a:srgbClr val="6F7779"/>
      </a:accent1>
      <a:accent2>
        <a:srgbClr val="990000"/>
      </a:accent2>
      <a:accent3>
        <a:srgbClr val="9BC3D3"/>
      </a:accent3>
      <a:accent4>
        <a:srgbClr val="FFCC33"/>
      </a:accent4>
      <a:accent5>
        <a:srgbClr val="63B3BC"/>
      </a:accent5>
      <a:accent6>
        <a:srgbClr val="9E3667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DC5A-130A-44DF-A48F-368E117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infoPRESS_pl</vt:lpstr>
    </vt:vector>
  </TitlesOfParts>
  <Company>Bank Zachodni WBK S.A.</Company>
  <LinksUpToDate>false</LinksUpToDate>
  <CharactersWithSpaces>5425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infoPRESS_pl</dc:title>
  <dc:creator>Tomasz Matwis</dc:creator>
  <cp:lastModifiedBy>Beata Czechowska-Derkacz</cp:lastModifiedBy>
  <cp:revision>3</cp:revision>
  <dcterms:created xsi:type="dcterms:W3CDTF">2019-03-21T14:30:00Z</dcterms:created>
  <dcterms:modified xsi:type="dcterms:W3CDTF">2019-03-21T15:21:00Z</dcterms:modified>
</cp:coreProperties>
</file>