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A9" w:rsidRPr="00F960E3" w:rsidRDefault="00F22DA9" w:rsidP="00F960E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60E3">
        <w:rPr>
          <w:rFonts w:cstheme="minorHAnsi"/>
          <w:color w:val="000000"/>
          <w:sz w:val="20"/>
          <w:szCs w:val="20"/>
        </w:rPr>
        <w:t>dr Beata Czechowska-Derkacz</w:t>
      </w:r>
    </w:p>
    <w:p w:rsidR="00F22DA9" w:rsidRPr="00F960E3" w:rsidRDefault="00F22DA9" w:rsidP="00F960E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60E3">
        <w:rPr>
          <w:rFonts w:cstheme="minorHAnsi"/>
          <w:color w:val="000000"/>
          <w:sz w:val="20"/>
          <w:szCs w:val="20"/>
        </w:rPr>
        <w:t>rzecznik prasowy Uniwersytetu Gdańskiego</w:t>
      </w:r>
    </w:p>
    <w:p w:rsidR="00F22DA9" w:rsidRPr="00F960E3" w:rsidRDefault="00F22DA9" w:rsidP="00F960E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60E3">
        <w:rPr>
          <w:rFonts w:cstheme="minorHAnsi"/>
          <w:color w:val="000000"/>
          <w:sz w:val="20"/>
          <w:szCs w:val="20"/>
        </w:rPr>
        <w:t>ul. Bażyńskiego 8</w:t>
      </w:r>
    </w:p>
    <w:p w:rsidR="00F22DA9" w:rsidRPr="00F960E3" w:rsidRDefault="00F22DA9" w:rsidP="00F960E3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F960E3">
        <w:rPr>
          <w:rFonts w:cstheme="minorHAnsi"/>
          <w:color w:val="000000"/>
          <w:sz w:val="20"/>
          <w:szCs w:val="20"/>
          <w:lang w:val="en-US"/>
        </w:rPr>
        <w:t>80-309 Gdańsk</w:t>
      </w:r>
    </w:p>
    <w:p w:rsidR="00F22DA9" w:rsidRPr="00F960E3" w:rsidRDefault="00F22DA9" w:rsidP="00F960E3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F960E3">
        <w:rPr>
          <w:rFonts w:cstheme="minorHAnsi"/>
          <w:color w:val="000000"/>
          <w:sz w:val="20"/>
          <w:szCs w:val="20"/>
          <w:lang w:val="en-US"/>
        </w:rPr>
        <w:t>tel.: (58) 523 25 84</w:t>
      </w:r>
    </w:p>
    <w:p w:rsidR="00F22DA9" w:rsidRPr="00F960E3" w:rsidRDefault="00F22DA9" w:rsidP="00F960E3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F960E3">
        <w:rPr>
          <w:rFonts w:cstheme="minorHAnsi"/>
          <w:color w:val="000000"/>
          <w:sz w:val="20"/>
          <w:szCs w:val="20"/>
          <w:lang w:val="en-US"/>
        </w:rPr>
        <w:t xml:space="preserve">tel. </w:t>
      </w:r>
      <w:proofErr w:type="spellStart"/>
      <w:r w:rsidRPr="00F960E3">
        <w:rPr>
          <w:rFonts w:cstheme="minorHAnsi"/>
          <w:color w:val="000000"/>
          <w:sz w:val="20"/>
          <w:szCs w:val="20"/>
          <w:lang w:val="en-US"/>
        </w:rPr>
        <w:t>kom</w:t>
      </w:r>
      <w:proofErr w:type="spellEnd"/>
      <w:r w:rsidRPr="00F960E3">
        <w:rPr>
          <w:rFonts w:cstheme="minorHAnsi"/>
          <w:color w:val="000000"/>
          <w:sz w:val="20"/>
          <w:szCs w:val="20"/>
          <w:lang w:val="en-US"/>
        </w:rPr>
        <w:t>. 725 991 088</w:t>
      </w:r>
    </w:p>
    <w:p w:rsidR="00F22DA9" w:rsidRPr="00F960E3" w:rsidRDefault="00F22DA9" w:rsidP="00F960E3">
      <w:pPr>
        <w:spacing w:after="0" w:line="240" w:lineRule="auto"/>
        <w:rPr>
          <w:rFonts w:cstheme="minorHAnsi"/>
          <w:color w:val="330000"/>
          <w:sz w:val="20"/>
          <w:szCs w:val="20"/>
          <w:lang w:val="en-US"/>
        </w:rPr>
      </w:pPr>
      <w:r w:rsidRPr="00F960E3">
        <w:rPr>
          <w:rFonts w:cstheme="minorHAns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F960E3">
          <w:rPr>
            <w:rStyle w:val="Hipercze"/>
            <w:rFonts w:cstheme="minorHAnsi"/>
            <w:sz w:val="20"/>
            <w:szCs w:val="20"/>
            <w:lang w:val="en-US"/>
          </w:rPr>
          <w:t>prasa@ug.edu.pl</w:t>
        </w:r>
      </w:hyperlink>
    </w:p>
    <w:p w:rsidR="00F22DA9" w:rsidRPr="00F960E3" w:rsidRDefault="002E7CB7" w:rsidP="00F960E3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hyperlink r:id="rId6" w:history="1">
        <w:r w:rsidR="00F22DA9" w:rsidRPr="00F960E3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:rsidR="00F22DA9" w:rsidRPr="00F960E3" w:rsidRDefault="00F22DA9" w:rsidP="00F960E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7253" w:rsidRPr="00F960E3" w:rsidRDefault="001530EC" w:rsidP="00F960E3">
      <w:pPr>
        <w:spacing w:after="0" w:line="360" w:lineRule="auto"/>
        <w:rPr>
          <w:rFonts w:cstheme="minorHAnsi"/>
        </w:rPr>
      </w:pPr>
      <w:r>
        <w:rPr>
          <w:rFonts w:cstheme="minorHAnsi"/>
        </w:rPr>
        <w:t>Gdańsk 15</w:t>
      </w:r>
      <w:r w:rsidR="00037253" w:rsidRPr="00F960E3">
        <w:rPr>
          <w:rFonts w:cstheme="minorHAnsi"/>
        </w:rPr>
        <w:t xml:space="preserve"> marca 2017 </w:t>
      </w:r>
    </w:p>
    <w:p w:rsidR="00037253" w:rsidRPr="00F960E3" w:rsidRDefault="00037253" w:rsidP="00F960E3">
      <w:pPr>
        <w:spacing w:after="0" w:line="360" w:lineRule="auto"/>
        <w:jc w:val="center"/>
        <w:rPr>
          <w:rFonts w:cstheme="minorHAnsi"/>
          <w:b/>
        </w:rPr>
      </w:pPr>
    </w:p>
    <w:p w:rsidR="00B135F9" w:rsidRPr="00F960E3" w:rsidRDefault="00B135F9" w:rsidP="00F960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960E3">
        <w:rPr>
          <w:rFonts w:cstheme="minorHAnsi"/>
          <w:b/>
          <w:sz w:val="24"/>
          <w:szCs w:val="24"/>
        </w:rPr>
        <w:t>Informacja prasowa</w:t>
      </w:r>
    </w:p>
    <w:p w:rsidR="00B135F9" w:rsidRPr="00F960E3" w:rsidRDefault="00F22DA9" w:rsidP="00F960E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960E3">
        <w:rPr>
          <w:rFonts w:cstheme="minorHAnsi"/>
          <w:b/>
          <w:i/>
          <w:sz w:val="24"/>
          <w:szCs w:val="24"/>
        </w:rPr>
        <w:t>Study</w:t>
      </w:r>
      <w:proofErr w:type="spellEnd"/>
      <w:r w:rsidRPr="00F960E3">
        <w:rPr>
          <w:rFonts w:cstheme="minorHAnsi"/>
          <w:b/>
          <w:i/>
          <w:sz w:val="24"/>
          <w:szCs w:val="24"/>
        </w:rPr>
        <w:t xml:space="preserve"> in P</w:t>
      </w:r>
      <w:r w:rsidR="00B135F9" w:rsidRPr="00F960E3">
        <w:rPr>
          <w:rFonts w:cstheme="minorHAnsi"/>
          <w:b/>
          <w:i/>
          <w:sz w:val="24"/>
          <w:szCs w:val="24"/>
        </w:rPr>
        <w:t>omorskie</w:t>
      </w:r>
      <w:r w:rsidR="00B135F9" w:rsidRPr="00F960E3">
        <w:rPr>
          <w:rFonts w:cstheme="minorHAnsi"/>
          <w:b/>
          <w:sz w:val="24"/>
          <w:szCs w:val="24"/>
        </w:rPr>
        <w:t xml:space="preserve"> – porozumienie </w:t>
      </w:r>
      <w:r w:rsidRPr="00F960E3">
        <w:rPr>
          <w:rFonts w:cstheme="minorHAnsi"/>
          <w:b/>
          <w:sz w:val="24"/>
          <w:szCs w:val="24"/>
        </w:rPr>
        <w:t>S</w:t>
      </w:r>
      <w:r w:rsidR="00B135F9" w:rsidRPr="00F960E3">
        <w:rPr>
          <w:rFonts w:cstheme="minorHAnsi"/>
          <w:b/>
          <w:sz w:val="24"/>
          <w:szCs w:val="24"/>
        </w:rPr>
        <w:t>amorządu Województwa Pomorskiego oraz pomorskich uczelni</w:t>
      </w:r>
    </w:p>
    <w:p w:rsidR="00F960E3" w:rsidRDefault="00F960E3" w:rsidP="00F960E3">
      <w:pPr>
        <w:spacing w:after="0" w:line="360" w:lineRule="auto"/>
        <w:jc w:val="both"/>
        <w:rPr>
          <w:rFonts w:cstheme="minorHAnsi"/>
          <w:b/>
          <w:i/>
        </w:rPr>
      </w:pPr>
    </w:p>
    <w:p w:rsidR="00F960E3" w:rsidRPr="00F960E3" w:rsidRDefault="00EB5CC5" w:rsidP="00F960E3">
      <w:pPr>
        <w:spacing w:after="0" w:line="360" w:lineRule="auto"/>
        <w:jc w:val="both"/>
        <w:rPr>
          <w:rFonts w:cstheme="minorHAnsi"/>
          <w:b/>
        </w:rPr>
      </w:pPr>
      <w:r w:rsidRPr="00F960E3">
        <w:rPr>
          <w:rFonts w:cstheme="minorHAnsi"/>
          <w:b/>
          <w:i/>
        </w:rPr>
        <w:t>„</w:t>
      </w:r>
      <w:proofErr w:type="spellStart"/>
      <w:r w:rsidRPr="00F960E3">
        <w:rPr>
          <w:rFonts w:cstheme="minorHAnsi"/>
          <w:b/>
          <w:i/>
        </w:rPr>
        <w:t>Study</w:t>
      </w:r>
      <w:proofErr w:type="spellEnd"/>
      <w:r w:rsidRPr="00F960E3">
        <w:rPr>
          <w:rFonts w:cstheme="minorHAnsi"/>
          <w:b/>
          <w:i/>
        </w:rPr>
        <w:t xml:space="preserve"> in Pomorskie”</w:t>
      </w:r>
      <w:r w:rsidRPr="00F960E3">
        <w:rPr>
          <w:rFonts w:cstheme="minorHAnsi"/>
          <w:b/>
        </w:rPr>
        <w:t xml:space="preserve"> – porozumienie na rzecz </w:t>
      </w:r>
      <w:r w:rsidR="002E0FAD" w:rsidRPr="00F960E3">
        <w:rPr>
          <w:rFonts w:cstheme="minorHAnsi"/>
          <w:b/>
        </w:rPr>
        <w:t>wspierania</w:t>
      </w:r>
      <w:r w:rsidRPr="00F960E3">
        <w:rPr>
          <w:rFonts w:cstheme="minorHAnsi"/>
          <w:b/>
        </w:rPr>
        <w:t xml:space="preserve"> działań służących umiędzynarodowieniu pomorskich ośrodków akademickich, poprawie ich konkurencyjności oraz wzmocnieniu konkurencyjności regionu zostało podpisane przez Samorząd Województwa Pomorskiego o</w:t>
      </w:r>
      <w:r w:rsidR="002E0FAD" w:rsidRPr="00F960E3">
        <w:rPr>
          <w:rFonts w:cstheme="minorHAnsi"/>
          <w:b/>
        </w:rPr>
        <w:t xml:space="preserve">raz osiem </w:t>
      </w:r>
      <w:r w:rsidRPr="00F960E3">
        <w:rPr>
          <w:rFonts w:cstheme="minorHAnsi"/>
          <w:b/>
        </w:rPr>
        <w:t>pomorskich uczelni.</w:t>
      </w:r>
      <w:r w:rsidR="00B135F9" w:rsidRPr="00F960E3">
        <w:rPr>
          <w:rFonts w:cstheme="minorHAnsi"/>
          <w:b/>
        </w:rPr>
        <w:t xml:space="preserve"> Wśród sygnatariuszy porozum</w:t>
      </w:r>
      <w:r w:rsidR="00F960E3">
        <w:rPr>
          <w:rFonts w:cstheme="minorHAnsi"/>
          <w:b/>
        </w:rPr>
        <w:t>ienia jest Uniwersytet Gdański.</w:t>
      </w:r>
    </w:p>
    <w:p w:rsidR="00F960E3" w:rsidRDefault="00B135F9" w:rsidP="00F960E3">
      <w:pPr>
        <w:spacing w:after="0" w:line="360" w:lineRule="auto"/>
        <w:ind w:firstLine="708"/>
        <w:jc w:val="both"/>
        <w:rPr>
          <w:rFonts w:cstheme="minorHAnsi"/>
        </w:rPr>
      </w:pPr>
      <w:r w:rsidRPr="00F960E3">
        <w:rPr>
          <w:rFonts w:cstheme="minorHAnsi"/>
        </w:rPr>
        <w:t>Porozumienie na rzecz realizacji przedsięwzięcia strategicznego „</w:t>
      </w:r>
      <w:proofErr w:type="spellStart"/>
      <w:r w:rsidRPr="00F960E3">
        <w:rPr>
          <w:rFonts w:cstheme="minorHAnsi"/>
          <w:i/>
        </w:rPr>
        <w:t>Study</w:t>
      </w:r>
      <w:proofErr w:type="spellEnd"/>
      <w:r w:rsidRPr="00F960E3">
        <w:rPr>
          <w:rFonts w:cstheme="minorHAnsi"/>
          <w:i/>
        </w:rPr>
        <w:t xml:space="preserve"> in Pomorskie</w:t>
      </w:r>
      <w:r w:rsidRPr="00F960E3">
        <w:rPr>
          <w:rFonts w:cstheme="minorHAnsi"/>
        </w:rPr>
        <w:t xml:space="preserve">” stanowi jedno z narzędzi wdrażania zobowiązania wynikającego ze </w:t>
      </w:r>
      <w:r w:rsidRPr="00F960E3">
        <w:rPr>
          <w:rFonts w:cstheme="minorHAnsi"/>
          <w:i/>
        </w:rPr>
        <w:t xml:space="preserve">Strategii Rozwoju Województwa Pomorskiego 2020 </w:t>
      </w:r>
      <w:r w:rsidRPr="00F960E3">
        <w:rPr>
          <w:rFonts w:cstheme="minorHAnsi"/>
        </w:rPr>
        <w:t xml:space="preserve">pn.: „Przygotowanie i wypromowanie, z udziałem kluczowych pomorskich uczelni, kompleksowej oferty dla studentów zagranicznych oraz oferty wspierającej zatrudnienie zagranicznych naukowców”. </w:t>
      </w:r>
    </w:p>
    <w:p w:rsidR="00F960E3" w:rsidRDefault="00B135F9" w:rsidP="00F960E3">
      <w:pPr>
        <w:spacing w:after="0" w:line="360" w:lineRule="auto"/>
        <w:ind w:firstLine="708"/>
        <w:jc w:val="both"/>
        <w:rPr>
          <w:rFonts w:cstheme="minorHAnsi"/>
        </w:rPr>
      </w:pPr>
      <w:r w:rsidRPr="00F960E3">
        <w:rPr>
          <w:rFonts w:cstheme="minorHAnsi"/>
        </w:rPr>
        <w:t xml:space="preserve">Na mocy porozumienia </w:t>
      </w:r>
      <w:r w:rsidR="00F22DA9" w:rsidRPr="00F960E3">
        <w:rPr>
          <w:rFonts w:cstheme="minorHAnsi"/>
          <w:i/>
        </w:rPr>
        <w:t>„</w:t>
      </w:r>
      <w:proofErr w:type="spellStart"/>
      <w:r w:rsidR="00F22DA9" w:rsidRPr="00F960E3">
        <w:rPr>
          <w:rFonts w:cstheme="minorHAnsi"/>
          <w:i/>
        </w:rPr>
        <w:t>Study</w:t>
      </w:r>
      <w:proofErr w:type="spellEnd"/>
      <w:r w:rsidR="00F22DA9" w:rsidRPr="00F960E3">
        <w:rPr>
          <w:rFonts w:cstheme="minorHAnsi"/>
          <w:i/>
        </w:rPr>
        <w:t xml:space="preserve"> in Pomorskie”</w:t>
      </w:r>
      <w:r w:rsidR="00F22DA9" w:rsidRPr="00F960E3">
        <w:rPr>
          <w:rFonts w:cstheme="minorHAnsi"/>
          <w:b/>
        </w:rPr>
        <w:t xml:space="preserve"> </w:t>
      </w:r>
      <w:r w:rsidRPr="00F960E3">
        <w:rPr>
          <w:rFonts w:cstheme="minorHAnsi"/>
        </w:rPr>
        <w:t xml:space="preserve">Samorząd Województwa Pomorskiego oraz pomorskie  uczelnie </w:t>
      </w:r>
      <w:r w:rsidR="00F22DA9" w:rsidRPr="00F960E3">
        <w:rPr>
          <w:rFonts w:cstheme="minorHAnsi"/>
        </w:rPr>
        <w:t>(</w:t>
      </w:r>
      <w:r w:rsidRPr="00F960E3">
        <w:rPr>
          <w:rFonts w:cstheme="minorHAnsi"/>
        </w:rPr>
        <w:t>sygnatariusze porozumienia</w:t>
      </w:r>
      <w:r w:rsidR="00F22DA9" w:rsidRPr="00F960E3">
        <w:rPr>
          <w:rFonts w:cstheme="minorHAnsi"/>
        </w:rPr>
        <w:t xml:space="preserve">) </w:t>
      </w:r>
      <w:r w:rsidR="00037253" w:rsidRPr="00F960E3">
        <w:rPr>
          <w:rFonts w:cstheme="minorHAnsi"/>
        </w:rPr>
        <w:t xml:space="preserve">zobowiązali </w:t>
      </w:r>
      <w:r w:rsidRPr="00F960E3">
        <w:rPr>
          <w:rFonts w:cstheme="minorHAnsi"/>
        </w:rPr>
        <w:t>się do corocznego opracowywania planu działań, który będzie określał zakres realizowanych w danym roku wspólnych przedsięwzięć, wskazywał ich liderów, a także określał roczne finansowe zaangażowanie sygnatariuszy porozumienia.  Środki niezbędne do realizacji porozumienia pochodzić będą z budżet</w:t>
      </w:r>
      <w:r w:rsidR="00037253" w:rsidRPr="00F960E3">
        <w:rPr>
          <w:rFonts w:cstheme="minorHAnsi"/>
        </w:rPr>
        <w:t>u województwa pomorskiego (</w:t>
      </w:r>
      <w:r w:rsidRPr="00F960E3">
        <w:rPr>
          <w:rFonts w:cstheme="minorHAnsi"/>
        </w:rPr>
        <w:t>Samorząd Województwa Pomorskiego podjął decyzję o wygospodarowaniu środków z budżetu Województwa na 201</w:t>
      </w:r>
      <w:r w:rsidR="00037253" w:rsidRPr="00F960E3">
        <w:rPr>
          <w:rFonts w:cstheme="minorHAnsi"/>
        </w:rPr>
        <w:t xml:space="preserve">7 rok w wysokości 100.000 PLN) </w:t>
      </w:r>
      <w:r w:rsidRPr="00F960E3">
        <w:rPr>
          <w:rFonts w:cstheme="minorHAnsi"/>
        </w:rPr>
        <w:t>oraz budżetów uczel</w:t>
      </w:r>
      <w:r w:rsidR="00037253" w:rsidRPr="00F960E3">
        <w:rPr>
          <w:rFonts w:cstheme="minorHAnsi"/>
        </w:rPr>
        <w:t xml:space="preserve">ni – </w:t>
      </w:r>
      <w:r w:rsidRPr="00F960E3">
        <w:rPr>
          <w:rFonts w:cstheme="minorHAnsi"/>
        </w:rPr>
        <w:t xml:space="preserve">sygnatariuszy porozumienia. </w:t>
      </w:r>
    </w:p>
    <w:p w:rsidR="00037253" w:rsidRPr="00F960E3" w:rsidRDefault="00037253" w:rsidP="00F960E3">
      <w:pPr>
        <w:spacing w:after="0" w:line="360" w:lineRule="auto"/>
        <w:ind w:firstLine="708"/>
        <w:jc w:val="both"/>
        <w:rPr>
          <w:rFonts w:cstheme="minorHAnsi"/>
        </w:rPr>
      </w:pPr>
      <w:r w:rsidRPr="00F960E3">
        <w:rPr>
          <w:rFonts w:cstheme="minorHAnsi"/>
        </w:rPr>
        <w:t xml:space="preserve">Porozumienie zostało podpisane 14 marca 2017 roku. Sygnatariuszami porozumienia jest Samorząd Województwa Pomorskiego oraz pomorskie uczelnie: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Akademia Morska w Gdyni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Akademia Muzyczna im. Stanisława Moniuszki w Gdańsku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Akademia Pomorska w Słupsku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Akademia Sztuk Pięknych w Gdańsku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Akademia Wychowania Fizycznego i Sportu im. Jędrzeja Śniadeckiego w Gdańsku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lastRenderedPageBreak/>
        <w:t xml:space="preserve">Gdański Uniwersytet Medyczny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Politechnika Gdańska </w:t>
      </w:r>
    </w:p>
    <w:p w:rsidR="00037253" w:rsidRPr="00F960E3" w:rsidRDefault="00037253" w:rsidP="00F960E3">
      <w:pPr>
        <w:pStyle w:val="Akapitzlist"/>
        <w:numPr>
          <w:ilvl w:val="0"/>
          <w:numId w:val="2"/>
        </w:numPr>
        <w:spacing w:after="0" w:line="240" w:lineRule="auto"/>
        <w:ind w:left="0" w:hanging="357"/>
        <w:rPr>
          <w:rFonts w:asciiTheme="minorHAnsi" w:hAnsiTheme="minorHAnsi" w:cstheme="minorHAnsi"/>
        </w:rPr>
      </w:pPr>
      <w:r w:rsidRPr="00F960E3">
        <w:rPr>
          <w:rFonts w:asciiTheme="minorHAnsi" w:hAnsiTheme="minorHAnsi" w:cstheme="minorHAnsi"/>
        </w:rPr>
        <w:t xml:space="preserve">Uniwersytet Gdański </w:t>
      </w:r>
    </w:p>
    <w:p w:rsidR="00037253" w:rsidRPr="00F960E3" w:rsidRDefault="00037253" w:rsidP="00F960E3">
      <w:pPr>
        <w:spacing w:after="0" w:line="360" w:lineRule="auto"/>
        <w:jc w:val="both"/>
        <w:rPr>
          <w:rFonts w:cstheme="minorHAnsi"/>
        </w:rPr>
      </w:pPr>
    </w:p>
    <w:p w:rsidR="00B135F9" w:rsidRPr="00F960E3" w:rsidRDefault="00244CE2" w:rsidP="00F96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F960E3">
        <w:rPr>
          <w:rFonts w:cstheme="minorHAnsi"/>
          <w:i/>
        </w:rPr>
        <w:t>Study</w:t>
      </w:r>
      <w:proofErr w:type="spellEnd"/>
      <w:r w:rsidRPr="00F960E3">
        <w:rPr>
          <w:rFonts w:cstheme="minorHAnsi"/>
          <w:i/>
        </w:rPr>
        <w:t xml:space="preserve"> in Pomorskie</w:t>
      </w:r>
      <w:r w:rsidRPr="00F960E3">
        <w:rPr>
          <w:rFonts w:cstheme="minorHAnsi"/>
        </w:rPr>
        <w:t xml:space="preserve"> to wspólna inicjatywa szkół wyższych, </w:t>
      </w:r>
      <w:r w:rsidR="00B135F9" w:rsidRPr="00F960E3">
        <w:rPr>
          <w:rFonts w:cstheme="minorHAnsi"/>
        </w:rPr>
        <w:t xml:space="preserve"> w ramach której prowadzo</w:t>
      </w:r>
      <w:r w:rsidR="002E0FAD" w:rsidRPr="00F960E3">
        <w:rPr>
          <w:rFonts w:cstheme="minorHAnsi"/>
        </w:rPr>
        <w:t xml:space="preserve">ne będą m.in. następujące działania: </w:t>
      </w:r>
    </w:p>
    <w:p w:rsidR="00244CE2" w:rsidRPr="00F960E3" w:rsidRDefault="00244CE2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cstheme="minorHAnsi"/>
        </w:rPr>
      </w:pPr>
      <w:r w:rsidRPr="00F960E3">
        <w:rPr>
          <w:rFonts w:cstheme="minorHAnsi"/>
        </w:rPr>
        <w:t xml:space="preserve">stworzenie spójnej i efektywnej promocji pomorskich uczelni w zakresie oferty dydaktycznej i </w:t>
      </w:r>
      <w:proofErr w:type="spellStart"/>
      <w:r w:rsidRPr="00F960E3">
        <w:rPr>
          <w:rFonts w:cstheme="minorHAnsi"/>
        </w:rPr>
        <w:t>pozadydaktycznej</w:t>
      </w:r>
      <w:proofErr w:type="spellEnd"/>
      <w:r w:rsidRPr="00F960E3">
        <w:rPr>
          <w:rFonts w:cstheme="minorHAnsi"/>
        </w:rPr>
        <w:t xml:space="preserve">; </w:t>
      </w:r>
    </w:p>
    <w:p w:rsidR="00244CE2" w:rsidRPr="00F960E3" w:rsidRDefault="00244CE2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cstheme="minorHAnsi"/>
        </w:rPr>
      </w:pPr>
      <w:r w:rsidRPr="00F960E3">
        <w:rPr>
          <w:rFonts w:cstheme="minorHAnsi"/>
        </w:rPr>
        <w:t>stworzenie platformy informacyjnej o pozycji naukowej i potencjale badawczym uczelni oraz atrakcyjności pomorskich miast, Obszaru Metropolitalnego Trójmiasta i województwa;</w:t>
      </w:r>
    </w:p>
    <w:p w:rsidR="00244CE2" w:rsidRPr="00F960E3" w:rsidRDefault="00244CE2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cstheme="minorHAnsi"/>
        </w:rPr>
      </w:pPr>
      <w:r w:rsidRPr="00F960E3">
        <w:rPr>
          <w:rFonts w:cstheme="minorHAnsi"/>
        </w:rPr>
        <w:t>zmiana wizerunku województwa jako miejsca przyjaznego obcokrajowcom, umożliwiającego studia na wysokim poziomie, poprawa jakości obsługi studentów i pracowników z zagranicy;</w:t>
      </w:r>
    </w:p>
    <w:p w:rsidR="002E0FAD" w:rsidRPr="00F960E3" w:rsidRDefault="00244CE2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cstheme="minorHAnsi"/>
        </w:rPr>
      </w:pPr>
      <w:r w:rsidRPr="00F960E3">
        <w:rPr>
          <w:rFonts w:cstheme="minorHAnsi"/>
        </w:rPr>
        <w:t>zwiększenie powiązań sieciowych uczelni na poziomie województwa i poza nim, intensyfikacja współpracy badawczej, rozwojowej, wdrożeniowej i społeczno-kulturalnej, organizacja wspólnych przedsięwzięć przez pomorskie uczelnie (np. udział w imprezach targowo-wystawienniczych, konferencjach).</w:t>
      </w:r>
    </w:p>
    <w:p w:rsidR="00B135F9" w:rsidRPr="00F960E3" w:rsidRDefault="00B135F9" w:rsidP="00F96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44CE2" w:rsidRPr="00F960E3" w:rsidRDefault="002E0FAD" w:rsidP="00F96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960E3">
        <w:rPr>
          <w:rFonts w:cstheme="minorHAnsi"/>
        </w:rPr>
        <w:t xml:space="preserve">Wspólne działania Samorządu województwa Pomorskiego oraz pomorskich uczelni mają się przyczynić  m.in. </w:t>
      </w:r>
      <w:r w:rsidR="00244CE2" w:rsidRPr="00F960E3">
        <w:rPr>
          <w:rFonts w:cstheme="minorHAnsi"/>
        </w:rPr>
        <w:t>zwiększenia liczby studentów zagranicznych oraz pochodzących spoza województwa pomorskiego studiu</w:t>
      </w:r>
      <w:r w:rsidR="00037253" w:rsidRPr="00F960E3">
        <w:rPr>
          <w:rFonts w:cstheme="minorHAnsi"/>
        </w:rPr>
        <w:t xml:space="preserve">jących na pomorskich uczelniach, </w:t>
      </w:r>
      <w:r w:rsidR="00244CE2" w:rsidRPr="00F960E3">
        <w:rPr>
          <w:rFonts w:cstheme="minorHAnsi"/>
        </w:rPr>
        <w:t>zatrzymania na regionalnych uczelniach absolwent</w:t>
      </w:r>
      <w:r w:rsidR="00037253" w:rsidRPr="00F960E3">
        <w:rPr>
          <w:rFonts w:cstheme="minorHAnsi"/>
        </w:rPr>
        <w:t xml:space="preserve">ów pomorskich szkół średnich, </w:t>
      </w:r>
      <w:r w:rsidR="00244CE2" w:rsidRPr="00F960E3">
        <w:rPr>
          <w:rFonts w:cstheme="minorHAnsi"/>
        </w:rPr>
        <w:t>stworzenia wspólnej, skoordynowanej i efektywnej promocji pomorskich uczelni w zakresie oferty d</w:t>
      </w:r>
      <w:r w:rsidR="00037253" w:rsidRPr="00F960E3">
        <w:rPr>
          <w:rFonts w:cstheme="minorHAnsi"/>
        </w:rPr>
        <w:t xml:space="preserve">ydaktycznej i </w:t>
      </w:r>
      <w:proofErr w:type="spellStart"/>
      <w:r w:rsidR="00037253" w:rsidRPr="00F960E3">
        <w:rPr>
          <w:rFonts w:cstheme="minorHAnsi"/>
        </w:rPr>
        <w:t>pozadydaktycznej</w:t>
      </w:r>
      <w:proofErr w:type="spellEnd"/>
      <w:r w:rsidR="00037253" w:rsidRPr="00F960E3">
        <w:rPr>
          <w:rFonts w:cstheme="minorHAnsi"/>
        </w:rPr>
        <w:t xml:space="preserve">, </w:t>
      </w:r>
      <w:r w:rsidR="00244CE2" w:rsidRPr="00F960E3">
        <w:rPr>
          <w:rFonts w:cstheme="minorHAnsi"/>
        </w:rPr>
        <w:t xml:space="preserve">poprawy wizerunku województwa jako miejsca przyjaznego obcokrajowcom, umożliwiającego studia na </w:t>
      </w:r>
      <w:r w:rsidR="00037253" w:rsidRPr="00F960E3">
        <w:rPr>
          <w:rFonts w:cstheme="minorHAnsi"/>
        </w:rPr>
        <w:t xml:space="preserve">wysokim poziomie, </w:t>
      </w:r>
      <w:r w:rsidR="00244CE2" w:rsidRPr="00F960E3">
        <w:rPr>
          <w:rFonts w:cstheme="minorHAnsi"/>
        </w:rPr>
        <w:t>poprawy jakości obsługi stud</w:t>
      </w:r>
      <w:r w:rsidR="00037253" w:rsidRPr="00F960E3">
        <w:rPr>
          <w:rFonts w:cstheme="minorHAnsi"/>
        </w:rPr>
        <w:t xml:space="preserve">entów i pracowników z zagranicy, a także </w:t>
      </w:r>
      <w:r w:rsidR="00244CE2" w:rsidRPr="00F960E3">
        <w:rPr>
          <w:rFonts w:cstheme="minorHAnsi"/>
        </w:rPr>
        <w:t>zwiększenia powiązań sieciowych pomorskich uczelni.</w:t>
      </w:r>
    </w:p>
    <w:p w:rsidR="00D527D5" w:rsidRPr="00F960E3" w:rsidRDefault="00D527D5" w:rsidP="00F96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527D5" w:rsidRPr="006D2CC0" w:rsidRDefault="002E0C9D" w:rsidP="00F96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u w:val="single"/>
        </w:rPr>
      </w:pPr>
      <w:r w:rsidRPr="00F960E3">
        <w:rPr>
          <w:rFonts w:cstheme="minorHAnsi"/>
          <w:b/>
          <w:u w:val="single"/>
        </w:rPr>
        <w:t xml:space="preserve">Studenci zagraniczni </w:t>
      </w:r>
      <w:r w:rsidR="00D527D5" w:rsidRPr="00F960E3">
        <w:rPr>
          <w:rFonts w:cstheme="minorHAnsi"/>
          <w:b/>
          <w:u w:val="single"/>
        </w:rPr>
        <w:t>na Uniwersytecie Gdańskim</w:t>
      </w:r>
      <w:r w:rsidRPr="00F960E3">
        <w:rPr>
          <w:rFonts w:cstheme="minorHAnsi"/>
          <w:b/>
          <w:u w:val="single"/>
        </w:rPr>
        <w:t xml:space="preserve"> </w:t>
      </w:r>
    </w:p>
    <w:p w:rsidR="00796A81" w:rsidRPr="00F960E3" w:rsidRDefault="002E0C9D" w:rsidP="00F96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960E3">
        <w:rPr>
          <w:rFonts w:cstheme="minorHAnsi"/>
          <w:b/>
        </w:rPr>
        <w:t xml:space="preserve">W roku akademickim 2016/2017 na Uniwersytecie Gdańskim studiuje </w:t>
      </w:r>
      <w:r w:rsidR="00796A81" w:rsidRPr="00F960E3">
        <w:rPr>
          <w:rFonts w:cstheme="minorHAnsi"/>
          <w:b/>
        </w:rPr>
        <w:t xml:space="preserve">łącznie </w:t>
      </w:r>
      <w:r w:rsidR="00F960E3" w:rsidRPr="00F960E3">
        <w:rPr>
          <w:rFonts w:cstheme="minorHAnsi"/>
          <w:b/>
        </w:rPr>
        <w:t xml:space="preserve">724 obcokrajowców – 665 </w:t>
      </w:r>
      <w:r w:rsidR="000E2051" w:rsidRPr="00F960E3">
        <w:rPr>
          <w:rFonts w:cstheme="minorHAnsi"/>
          <w:b/>
        </w:rPr>
        <w:t xml:space="preserve">studentów oraz 59 doktorantów. </w:t>
      </w:r>
    </w:p>
    <w:p w:rsidR="00796A81" w:rsidRPr="00F960E3" w:rsidRDefault="00796A81" w:rsidP="00F96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6A81" w:rsidRPr="006D2CC0" w:rsidRDefault="00796A8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b/>
        </w:rPr>
        <w:t xml:space="preserve">474 studentów na studiach I </w:t>
      </w:r>
      <w:proofErr w:type="spellStart"/>
      <w:r w:rsidRPr="00F960E3">
        <w:rPr>
          <w:rFonts w:cstheme="minorHAnsi"/>
          <w:b/>
        </w:rPr>
        <w:t>i</w:t>
      </w:r>
      <w:proofErr w:type="spellEnd"/>
      <w:r w:rsidRPr="00F960E3">
        <w:rPr>
          <w:rFonts w:cstheme="minorHAnsi"/>
          <w:b/>
        </w:rPr>
        <w:t xml:space="preserve"> II stopnia oraz na jednolitych studiach magisterskich </w:t>
      </w:r>
      <w:r w:rsidRPr="00F960E3">
        <w:rPr>
          <w:rFonts w:cstheme="minorHAnsi"/>
        </w:rPr>
        <w:t xml:space="preserve">(ramach pełnego cyklu studiów, którzy studiują na zasadach odpłatnych lub bezpłatnie z Kartą Polaka, jako stypendyści polskiego rządu i innych programów stypendialnych). Są to studenci niemal z całego świata, wśród których największą grupę stanowią studenci z Ukrainy (194), Rosji (61), Chin (29) oraz Litwy (29). Najpopularniejszym kierunkiem jest International Business. </w:t>
      </w:r>
      <w:bookmarkStart w:id="0" w:name="_GoBack"/>
      <w:bookmarkEnd w:id="0"/>
    </w:p>
    <w:p w:rsidR="00796A81" w:rsidRPr="006D2CC0" w:rsidRDefault="00F960E3" w:rsidP="006D2CC0">
      <w:pPr>
        <w:pStyle w:val="HTML-wstpniesformatowany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60E3">
        <w:rPr>
          <w:rFonts w:asciiTheme="minorHAnsi" w:hAnsiTheme="minorHAnsi" w:cstheme="minorHAnsi"/>
          <w:b/>
          <w:bCs/>
          <w:sz w:val="22"/>
          <w:szCs w:val="22"/>
        </w:rPr>
        <w:t xml:space="preserve">191 studentów w ramach Programu Erasmus+. </w:t>
      </w:r>
      <w:r w:rsidRPr="00F960E3">
        <w:rPr>
          <w:rFonts w:asciiTheme="minorHAnsi" w:hAnsiTheme="minorHAnsi" w:cstheme="minorHAnsi"/>
          <w:bCs/>
          <w:sz w:val="22"/>
          <w:szCs w:val="22"/>
        </w:rPr>
        <w:t>Są to studenci, którzy przyjeżdżają na jeden lub dwa semestry. Pochodzą ze wszystkich krajów europejskich oraz z tych uczelni, z którymi UG ma podpisaną umowę. Największą liczbę wśród Erasmusów stanowią Hiszpanie. Coraz częściej na studiowanie u nas decydują się Niemcy, Turcy, Włosi, Francuzi i Rumuni. Najpopularniejszymi w tym roku kierunkami studiów wśród Erasmusów są: ekonomia, pedagogika i prawo.</w:t>
      </w:r>
    </w:p>
    <w:p w:rsidR="00796A81" w:rsidRPr="00F960E3" w:rsidRDefault="00796A8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F960E3">
        <w:rPr>
          <w:rFonts w:cstheme="minorHAnsi"/>
          <w:b/>
        </w:rPr>
        <w:t>59 doktorantów</w:t>
      </w:r>
    </w:p>
    <w:p w:rsidR="00D527D5" w:rsidRPr="00F960E3" w:rsidRDefault="00D527D5" w:rsidP="00F96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0C9D" w:rsidRPr="00F960E3" w:rsidRDefault="00291D7C" w:rsidP="00F960E3">
      <w:pPr>
        <w:spacing w:after="0" w:line="240" w:lineRule="auto"/>
        <w:rPr>
          <w:rFonts w:cstheme="minorHAnsi"/>
        </w:rPr>
      </w:pPr>
      <w:r w:rsidRPr="00F960E3">
        <w:rPr>
          <w:rFonts w:cstheme="minorHAnsi"/>
        </w:rPr>
        <w:t>Studenc</w:t>
      </w:r>
      <w:r w:rsidR="00915270" w:rsidRPr="00F960E3">
        <w:rPr>
          <w:rFonts w:cstheme="minorHAnsi"/>
        </w:rPr>
        <w:t>i obcokrajowcy mogą studiować na UG w języku angielskim lub polskim</w:t>
      </w:r>
      <w:r w:rsidR="00915270" w:rsidRPr="00F960E3">
        <w:rPr>
          <w:rFonts w:cstheme="minorHAnsi"/>
          <w:b/>
        </w:rPr>
        <w:t xml:space="preserve">. </w:t>
      </w:r>
      <w:r w:rsidR="008F69E1" w:rsidRPr="00F960E3">
        <w:rPr>
          <w:rFonts w:cstheme="minorHAnsi"/>
          <w:b/>
        </w:rPr>
        <w:t xml:space="preserve">Oferta Uniwersytetu Gdańskiego w języku </w:t>
      </w:r>
      <w:r w:rsidR="00622727" w:rsidRPr="00F960E3">
        <w:rPr>
          <w:rFonts w:cstheme="minorHAnsi"/>
          <w:b/>
        </w:rPr>
        <w:t>angielskim to 6</w:t>
      </w:r>
      <w:r w:rsidR="008F69E1" w:rsidRPr="00F960E3">
        <w:rPr>
          <w:rFonts w:cstheme="minorHAnsi"/>
          <w:b/>
        </w:rPr>
        <w:t xml:space="preserve"> kierunków</w:t>
      </w:r>
      <w:r w:rsidRPr="00F960E3">
        <w:rPr>
          <w:rFonts w:cstheme="minorHAnsi"/>
          <w:b/>
        </w:rPr>
        <w:t xml:space="preserve"> studiów I stopnia (</w:t>
      </w:r>
      <w:proofErr w:type="spellStart"/>
      <w:r w:rsidRPr="00F960E3">
        <w:rPr>
          <w:rFonts w:cstheme="minorHAnsi"/>
          <w:b/>
        </w:rPr>
        <w:t>Bachelor</w:t>
      </w:r>
      <w:proofErr w:type="spellEnd"/>
      <w:r w:rsidRPr="00F960E3">
        <w:rPr>
          <w:rFonts w:cstheme="minorHAnsi"/>
          <w:b/>
        </w:rPr>
        <w:t xml:space="preserve">); 5 </w:t>
      </w:r>
      <w:r w:rsidR="00E83463" w:rsidRPr="00F960E3">
        <w:rPr>
          <w:rFonts w:cstheme="minorHAnsi"/>
          <w:b/>
        </w:rPr>
        <w:t>kierunków</w:t>
      </w:r>
      <w:r w:rsidR="008F69E1" w:rsidRPr="00F960E3">
        <w:rPr>
          <w:rFonts w:cstheme="minorHAnsi"/>
          <w:b/>
        </w:rPr>
        <w:t xml:space="preserve"> studiów </w:t>
      </w:r>
      <w:r w:rsidR="008F69E1" w:rsidRPr="00F960E3">
        <w:rPr>
          <w:rFonts w:cstheme="minorHAnsi"/>
          <w:b/>
        </w:rPr>
        <w:lastRenderedPageBreak/>
        <w:t xml:space="preserve">II stopnia (Master) </w:t>
      </w:r>
      <w:r w:rsidR="00915270" w:rsidRPr="00F960E3">
        <w:rPr>
          <w:rFonts w:cstheme="minorHAnsi"/>
          <w:b/>
        </w:rPr>
        <w:t>oraz 5 studiów doktoranckich (</w:t>
      </w:r>
      <w:proofErr w:type="spellStart"/>
      <w:r w:rsidR="00915270" w:rsidRPr="00F960E3">
        <w:rPr>
          <w:rFonts w:cstheme="minorHAnsi"/>
          <w:b/>
        </w:rPr>
        <w:t>PhD</w:t>
      </w:r>
      <w:proofErr w:type="spellEnd"/>
      <w:r w:rsidR="008F69E1" w:rsidRPr="00F960E3">
        <w:rPr>
          <w:rFonts w:cstheme="minorHAnsi"/>
          <w:b/>
        </w:rPr>
        <w:t>).</w:t>
      </w:r>
      <w:r w:rsidR="008F69E1" w:rsidRPr="00F960E3">
        <w:rPr>
          <w:rFonts w:cstheme="minorHAnsi"/>
        </w:rPr>
        <w:t xml:space="preserve"> </w:t>
      </w:r>
      <w:r w:rsidR="00915270" w:rsidRPr="00F960E3">
        <w:rPr>
          <w:rFonts w:cstheme="minorHAnsi"/>
          <w:b/>
        </w:rPr>
        <w:t xml:space="preserve">Oferta w języku polskim to 72 kierunki studiów I </w:t>
      </w:r>
      <w:proofErr w:type="spellStart"/>
      <w:r w:rsidR="00915270" w:rsidRPr="00F960E3">
        <w:rPr>
          <w:rFonts w:cstheme="minorHAnsi"/>
          <w:b/>
        </w:rPr>
        <w:t>i</w:t>
      </w:r>
      <w:proofErr w:type="spellEnd"/>
      <w:r w:rsidR="00915270" w:rsidRPr="00F960E3">
        <w:rPr>
          <w:rFonts w:cstheme="minorHAnsi"/>
          <w:b/>
        </w:rPr>
        <w:t xml:space="preserve"> II stopnia, studia jednolite magisterskie oraz 20 studiów doktoranckich</w:t>
      </w:r>
      <w:r w:rsidR="002E0C9D" w:rsidRPr="00F960E3">
        <w:rPr>
          <w:rFonts w:cstheme="minorHAnsi"/>
        </w:rPr>
        <w:t xml:space="preserve"> (warunkiem studiowania jest znajomość języka polskiego oraz przejście procesu rekrutacji</w:t>
      </w:r>
      <w:r w:rsidR="002E0C9D" w:rsidRPr="00F960E3">
        <w:rPr>
          <w:rFonts w:cstheme="minorHAnsi"/>
          <w:b/>
        </w:rPr>
        <w:t xml:space="preserve"> </w:t>
      </w:r>
      <w:r w:rsidR="002E0C9D" w:rsidRPr="00F960E3">
        <w:rPr>
          <w:rFonts w:cstheme="minorHAnsi"/>
        </w:rPr>
        <w:t>–</w:t>
      </w:r>
      <w:r w:rsidR="002E0C9D" w:rsidRPr="00F960E3">
        <w:rPr>
          <w:rFonts w:cstheme="minorHAnsi"/>
          <w:b/>
        </w:rPr>
        <w:t xml:space="preserve"> </w:t>
      </w:r>
      <w:r w:rsidR="002E0C9D" w:rsidRPr="00F960E3">
        <w:rPr>
          <w:rFonts w:cstheme="minorHAnsi"/>
        </w:rPr>
        <w:t xml:space="preserve">zasady jak dla studentów z Polski). </w:t>
      </w:r>
    </w:p>
    <w:p w:rsidR="008F69E1" w:rsidRPr="00F960E3" w:rsidRDefault="008F69E1" w:rsidP="00F960E3">
      <w:pPr>
        <w:spacing w:after="0" w:line="240" w:lineRule="auto"/>
        <w:rPr>
          <w:rFonts w:cstheme="minorHAnsi"/>
        </w:rPr>
      </w:pPr>
    </w:p>
    <w:p w:rsidR="001577EB" w:rsidRPr="00F960E3" w:rsidRDefault="001577EB" w:rsidP="00F960E3">
      <w:pPr>
        <w:spacing w:after="0" w:line="240" w:lineRule="auto"/>
        <w:rPr>
          <w:rFonts w:cstheme="minorHAnsi"/>
          <w:b/>
          <w:u w:val="single"/>
        </w:rPr>
      </w:pPr>
      <w:r w:rsidRPr="00F960E3">
        <w:rPr>
          <w:rFonts w:cstheme="minorHAnsi"/>
          <w:b/>
          <w:u w:val="single"/>
        </w:rPr>
        <w:t>Kierunki studiów na UG prowadzone całkowicie w języku angielskim</w:t>
      </w:r>
    </w:p>
    <w:p w:rsidR="009F1F77" w:rsidRPr="00F960E3" w:rsidRDefault="009F1F77" w:rsidP="00F960E3">
      <w:pPr>
        <w:spacing w:after="0" w:line="240" w:lineRule="auto"/>
        <w:outlineLvl w:val="4"/>
        <w:rPr>
          <w:rFonts w:eastAsia="Times New Roman" w:cstheme="minorHAnsi"/>
          <w:b/>
          <w:bCs/>
          <w:lang w:eastAsia="pl-PL"/>
        </w:rPr>
      </w:pPr>
    </w:p>
    <w:p w:rsidR="001577EB" w:rsidRPr="00F960E3" w:rsidRDefault="001577EB" w:rsidP="00F960E3">
      <w:pPr>
        <w:spacing w:after="0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F960E3">
        <w:rPr>
          <w:rFonts w:eastAsia="Times New Roman" w:cstheme="minorHAnsi"/>
          <w:b/>
          <w:bCs/>
          <w:lang w:eastAsia="pl-PL"/>
        </w:rPr>
        <w:t>Studia pierwszego stopnia</w:t>
      </w:r>
      <w:r w:rsidRPr="00F960E3">
        <w:rPr>
          <w:rFonts w:eastAsia="Times New Roman" w:cstheme="minorHAnsi"/>
          <w:bCs/>
          <w:lang w:eastAsia="pl-PL"/>
        </w:rPr>
        <w:t xml:space="preserve"> (trzyletnie) </w:t>
      </w:r>
      <w:r w:rsidRPr="00F960E3">
        <w:rPr>
          <w:rFonts w:eastAsia="Times New Roman" w:cstheme="minorHAnsi"/>
          <w:b/>
          <w:bCs/>
          <w:lang w:eastAsia="pl-PL"/>
        </w:rPr>
        <w:t xml:space="preserve">– </w:t>
      </w:r>
      <w:proofErr w:type="spellStart"/>
      <w:r w:rsidRPr="00F960E3">
        <w:rPr>
          <w:rFonts w:eastAsia="Times New Roman" w:cstheme="minorHAnsi"/>
          <w:b/>
          <w:bCs/>
          <w:lang w:eastAsia="pl-PL"/>
        </w:rPr>
        <w:t>Bachelor’s</w:t>
      </w:r>
      <w:proofErr w:type="spellEnd"/>
      <w:r w:rsidRPr="00F960E3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F960E3">
        <w:rPr>
          <w:rFonts w:eastAsia="Times New Roman" w:cstheme="minorHAnsi"/>
          <w:b/>
          <w:bCs/>
          <w:lang w:eastAsia="pl-PL"/>
        </w:rPr>
        <w:t>degree</w:t>
      </w:r>
      <w:proofErr w:type="spellEnd"/>
      <w:r w:rsidRPr="00F960E3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F960E3">
        <w:rPr>
          <w:rFonts w:eastAsia="Times New Roman" w:cstheme="minorHAnsi"/>
          <w:b/>
          <w:bCs/>
          <w:lang w:eastAsia="pl-PL"/>
        </w:rPr>
        <w:t>studies</w:t>
      </w:r>
      <w:proofErr w:type="spellEnd"/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</w:rPr>
        <w:t>International Business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European Business Administration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proofErr w:type="spellStart"/>
      <w:r w:rsidRPr="00F960E3">
        <w:rPr>
          <w:rFonts w:cstheme="minorHAnsi"/>
          <w:lang w:val="en-US"/>
        </w:rPr>
        <w:t>Finansial</w:t>
      </w:r>
      <w:proofErr w:type="spellEnd"/>
      <w:r w:rsidRPr="00F960E3">
        <w:rPr>
          <w:rFonts w:cstheme="minorHAnsi"/>
          <w:lang w:val="en-US"/>
        </w:rPr>
        <w:t xml:space="preserve"> analyst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Mathematics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Physics</w:t>
      </w:r>
    </w:p>
    <w:p w:rsidR="008F69E1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Medical Physics</w:t>
      </w:r>
    </w:p>
    <w:p w:rsidR="008F69E1" w:rsidRPr="00F960E3" w:rsidRDefault="008F69E1" w:rsidP="00F960E3">
      <w:pPr>
        <w:spacing w:after="0" w:line="240" w:lineRule="auto"/>
        <w:rPr>
          <w:rFonts w:cstheme="minorHAnsi"/>
          <w:lang w:val="en-US"/>
        </w:rPr>
      </w:pPr>
    </w:p>
    <w:p w:rsidR="001577EB" w:rsidRPr="00F960E3" w:rsidRDefault="001577EB" w:rsidP="00F960E3">
      <w:pPr>
        <w:spacing w:after="0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F960E3">
        <w:rPr>
          <w:rFonts w:eastAsia="Times New Roman" w:cstheme="minorHAnsi"/>
          <w:b/>
          <w:bCs/>
          <w:lang w:eastAsia="pl-PL"/>
        </w:rPr>
        <w:t>Studia drugiego stopnia</w:t>
      </w:r>
      <w:r w:rsidRPr="00F960E3">
        <w:rPr>
          <w:rFonts w:eastAsia="Times New Roman" w:cstheme="minorHAnsi"/>
          <w:bCs/>
          <w:lang w:eastAsia="pl-PL"/>
        </w:rPr>
        <w:t xml:space="preserve"> (dwuletnie) – </w:t>
      </w:r>
      <w:proofErr w:type="spellStart"/>
      <w:r w:rsidRPr="00F960E3">
        <w:rPr>
          <w:rFonts w:eastAsia="Times New Roman" w:cstheme="minorHAnsi"/>
          <w:b/>
          <w:bCs/>
          <w:lang w:eastAsia="pl-PL"/>
        </w:rPr>
        <w:t>Master’s</w:t>
      </w:r>
      <w:proofErr w:type="spellEnd"/>
      <w:r w:rsidRPr="00F960E3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F960E3">
        <w:rPr>
          <w:rFonts w:eastAsia="Times New Roman" w:cstheme="minorHAnsi"/>
          <w:b/>
          <w:bCs/>
          <w:lang w:eastAsia="pl-PL"/>
        </w:rPr>
        <w:t>degree</w:t>
      </w:r>
      <w:proofErr w:type="spellEnd"/>
      <w:r w:rsidRPr="00F960E3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F960E3">
        <w:rPr>
          <w:rFonts w:eastAsia="Times New Roman" w:cstheme="minorHAnsi"/>
          <w:b/>
          <w:bCs/>
          <w:lang w:eastAsia="pl-PL"/>
        </w:rPr>
        <w:t>studies</w:t>
      </w:r>
      <w:proofErr w:type="spellEnd"/>
      <w:r w:rsidRPr="00F960E3">
        <w:rPr>
          <w:rFonts w:eastAsia="Times New Roman" w:cstheme="minorHAnsi"/>
          <w:b/>
          <w:bCs/>
          <w:lang w:eastAsia="pl-PL"/>
        </w:rPr>
        <w:t xml:space="preserve"> </w:t>
      </w:r>
    </w:p>
    <w:p w:rsidR="00622727" w:rsidRPr="00F960E3" w:rsidRDefault="009F1F77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</w:rPr>
        <w:t>International Business</w:t>
      </w:r>
    </w:p>
    <w:p w:rsidR="00622727" w:rsidRPr="00F960E3" w:rsidRDefault="00622727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proofErr w:type="spellStart"/>
      <w:r w:rsidRPr="00F960E3">
        <w:rPr>
          <w:rFonts w:cstheme="minorHAnsi"/>
        </w:rPr>
        <w:t>European</w:t>
      </w:r>
      <w:proofErr w:type="spellEnd"/>
      <w:r w:rsidRPr="00F960E3">
        <w:rPr>
          <w:rFonts w:cstheme="minorHAnsi"/>
        </w:rPr>
        <w:t xml:space="preserve"> and International Business Law</w:t>
      </w:r>
      <w:r w:rsidRPr="00F960E3">
        <w:rPr>
          <w:rFonts w:cstheme="minorHAnsi"/>
          <w:b/>
        </w:rPr>
        <w:t xml:space="preserve"> </w:t>
      </w:r>
      <w:r w:rsidRPr="00F960E3">
        <w:rPr>
          <w:rFonts w:cstheme="minorHAnsi"/>
        </w:rPr>
        <w:t>(w planach od roku 2017/2018)</w:t>
      </w:r>
    </w:p>
    <w:p w:rsidR="009F1F77" w:rsidRPr="00F960E3" w:rsidRDefault="009F1F77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Mathematics</w:t>
      </w:r>
    </w:p>
    <w:p w:rsidR="009F1F77" w:rsidRPr="00F960E3" w:rsidRDefault="009F1F77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Physics</w:t>
      </w:r>
    </w:p>
    <w:p w:rsidR="009F1F77" w:rsidRPr="00F960E3" w:rsidRDefault="009F1F77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  <w:lang w:val="en-US"/>
        </w:rPr>
        <w:t>Medical Physics</w:t>
      </w:r>
    </w:p>
    <w:p w:rsidR="008F69E1" w:rsidRPr="00F960E3" w:rsidRDefault="008F69E1" w:rsidP="00F960E3">
      <w:pPr>
        <w:spacing w:after="0" w:line="240" w:lineRule="auto"/>
        <w:rPr>
          <w:rFonts w:cstheme="minorHAnsi"/>
          <w:lang w:val="en-US"/>
        </w:rPr>
      </w:pPr>
    </w:p>
    <w:p w:rsidR="008F69E1" w:rsidRPr="00F960E3" w:rsidRDefault="001577EB" w:rsidP="00F960E3">
      <w:pPr>
        <w:spacing w:after="0" w:line="240" w:lineRule="auto"/>
        <w:outlineLvl w:val="4"/>
        <w:rPr>
          <w:rFonts w:eastAsia="Times New Roman" w:cstheme="minorHAnsi"/>
          <w:b/>
          <w:bCs/>
          <w:lang w:val="en-US" w:eastAsia="pl-PL"/>
        </w:rPr>
      </w:pPr>
      <w:proofErr w:type="spellStart"/>
      <w:r w:rsidRPr="00F960E3">
        <w:rPr>
          <w:rFonts w:eastAsia="Times New Roman" w:cstheme="minorHAnsi"/>
          <w:b/>
          <w:bCs/>
          <w:lang w:val="en-US" w:eastAsia="pl-PL"/>
        </w:rPr>
        <w:t>Studia</w:t>
      </w:r>
      <w:proofErr w:type="spellEnd"/>
      <w:r w:rsidRPr="00F960E3">
        <w:rPr>
          <w:rFonts w:eastAsia="Times New Roman" w:cstheme="minorHAnsi"/>
          <w:b/>
          <w:bCs/>
          <w:lang w:val="en-US" w:eastAsia="pl-PL"/>
        </w:rPr>
        <w:t xml:space="preserve"> </w:t>
      </w:r>
      <w:proofErr w:type="spellStart"/>
      <w:r w:rsidRPr="00F960E3">
        <w:rPr>
          <w:rFonts w:eastAsia="Times New Roman" w:cstheme="minorHAnsi"/>
          <w:b/>
          <w:bCs/>
          <w:lang w:val="en-US" w:eastAsia="pl-PL"/>
        </w:rPr>
        <w:t>doktoranckie</w:t>
      </w:r>
      <w:proofErr w:type="spellEnd"/>
      <w:r w:rsidRPr="00F960E3">
        <w:rPr>
          <w:rFonts w:eastAsia="Times New Roman" w:cstheme="minorHAnsi"/>
          <w:b/>
          <w:bCs/>
          <w:lang w:val="en-US" w:eastAsia="pl-PL"/>
        </w:rPr>
        <w:t xml:space="preserve"> – (Doctoral degree - PhD)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proofErr w:type="spellStart"/>
      <w:r w:rsidRPr="00F960E3">
        <w:rPr>
          <w:rFonts w:cstheme="minorHAnsi"/>
        </w:rPr>
        <w:t>Doctoral</w:t>
      </w:r>
      <w:proofErr w:type="spellEnd"/>
      <w:r w:rsidRPr="00F960E3">
        <w:rPr>
          <w:rFonts w:cstheme="minorHAnsi"/>
        </w:rPr>
        <w:t xml:space="preserve"> (</w:t>
      </w:r>
      <w:proofErr w:type="spellStart"/>
      <w:r w:rsidRPr="00F960E3">
        <w:rPr>
          <w:rFonts w:cstheme="minorHAnsi"/>
        </w:rPr>
        <w:t>PhD</w:t>
      </w:r>
      <w:proofErr w:type="spellEnd"/>
      <w:r w:rsidRPr="00F960E3">
        <w:rPr>
          <w:rFonts w:cstheme="minorHAnsi"/>
        </w:rPr>
        <w:t xml:space="preserve">) </w:t>
      </w:r>
      <w:proofErr w:type="spellStart"/>
      <w:r w:rsidRPr="00F960E3">
        <w:rPr>
          <w:rFonts w:cstheme="minorHAnsi"/>
        </w:rPr>
        <w:t>Studies</w:t>
      </w:r>
      <w:proofErr w:type="spellEnd"/>
      <w:r w:rsidRPr="00F960E3">
        <w:rPr>
          <w:rFonts w:cstheme="minorHAnsi"/>
        </w:rPr>
        <w:t xml:space="preserve"> in Law in English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</w:rPr>
        <w:t>English Language part-</w:t>
      </w:r>
      <w:proofErr w:type="spellStart"/>
      <w:r w:rsidRPr="00F960E3">
        <w:rPr>
          <w:rFonts w:cstheme="minorHAnsi"/>
        </w:rPr>
        <w:t>time</w:t>
      </w:r>
      <w:proofErr w:type="spellEnd"/>
      <w:r w:rsidRPr="00F960E3">
        <w:rPr>
          <w:rFonts w:cstheme="minorHAnsi"/>
        </w:rPr>
        <w:t xml:space="preserve"> </w:t>
      </w:r>
      <w:proofErr w:type="spellStart"/>
      <w:r w:rsidRPr="00F960E3">
        <w:rPr>
          <w:rFonts w:cstheme="minorHAnsi"/>
        </w:rPr>
        <w:t>doctoral</w:t>
      </w:r>
      <w:proofErr w:type="spellEnd"/>
      <w:r w:rsidRPr="00F960E3">
        <w:rPr>
          <w:rFonts w:cstheme="minorHAnsi"/>
        </w:rPr>
        <w:t xml:space="preserve"> </w:t>
      </w:r>
      <w:proofErr w:type="spellStart"/>
      <w:r w:rsidRPr="00F960E3">
        <w:rPr>
          <w:rFonts w:cstheme="minorHAnsi"/>
        </w:rPr>
        <w:t>studies</w:t>
      </w:r>
      <w:proofErr w:type="spellEnd"/>
      <w:r w:rsidRPr="00F960E3">
        <w:rPr>
          <w:rFonts w:cstheme="minorHAnsi"/>
        </w:rPr>
        <w:t xml:space="preserve"> in </w:t>
      </w:r>
      <w:proofErr w:type="spellStart"/>
      <w:r w:rsidRPr="00F960E3">
        <w:rPr>
          <w:rFonts w:cstheme="minorHAnsi"/>
        </w:rPr>
        <w:t>Economics</w:t>
      </w:r>
      <w:proofErr w:type="spellEnd"/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proofErr w:type="spellStart"/>
      <w:r w:rsidRPr="00F960E3">
        <w:rPr>
          <w:rFonts w:cstheme="minorHAnsi"/>
        </w:rPr>
        <w:t>Interdisciplinary</w:t>
      </w:r>
      <w:proofErr w:type="spellEnd"/>
      <w:r w:rsidRPr="00F960E3">
        <w:rPr>
          <w:rFonts w:cstheme="minorHAnsi"/>
        </w:rPr>
        <w:t xml:space="preserve"> </w:t>
      </w:r>
      <w:proofErr w:type="spellStart"/>
      <w:r w:rsidRPr="00F960E3">
        <w:rPr>
          <w:rFonts w:cstheme="minorHAnsi"/>
        </w:rPr>
        <w:t>Doctoral</w:t>
      </w:r>
      <w:proofErr w:type="spellEnd"/>
      <w:r w:rsidRPr="00F960E3">
        <w:rPr>
          <w:rFonts w:cstheme="minorHAnsi"/>
        </w:rPr>
        <w:t xml:space="preserve"> </w:t>
      </w:r>
      <w:proofErr w:type="spellStart"/>
      <w:r w:rsidRPr="00F960E3">
        <w:rPr>
          <w:rFonts w:cstheme="minorHAnsi"/>
        </w:rPr>
        <w:t>Studies</w:t>
      </w:r>
      <w:proofErr w:type="spellEnd"/>
      <w:r w:rsidRPr="00F960E3">
        <w:rPr>
          <w:rFonts w:cstheme="minorHAnsi"/>
        </w:rPr>
        <w:t xml:space="preserve"> in Mathematical Modeling</w:t>
      </w:r>
    </w:p>
    <w:p w:rsidR="009F1F77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</w:rPr>
        <w:t xml:space="preserve">International </w:t>
      </w:r>
      <w:proofErr w:type="spellStart"/>
      <w:r w:rsidRPr="00F960E3">
        <w:rPr>
          <w:rFonts w:cstheme="minorHAnsi"/>
        </w:rPr>
        <w:t>Ph.D</w:t>
      </w:r>
      <w:proofErr w:type="spellEnd"/>
      <w:r w:rsidRPr="00F960E3">
        <w:rPr>
          <w:rFonts w:cstheme="minorHAnsi"/>
        </w:rPr>
        <w:t xml:space="preserve">. </w:t>
      </w:r>
      <w:proofErr w:type="spellStart"/>
      <w:r w:rsidRPr="00F960E3">
        <w:rPr>
          <w:rFonts w:cstheme="minorHAnsi"/>
        </w:rPr>
        <w:t>Programme</w:t>
      </w:r>
      <w:proofErr w:type="spellEnd"/>
      <w:r w:rsidRPr="00F960E3">
        <w:rPr>
          <w:rFonts w:cstheme="minorHAnsi"/>
        </w:rPr>
        <w:t xml:space="preserve"> „</w:t>
      </w:r>
      <w:proofErr w:type="spellStart"/>
      <w:r w:rsidRPr="00F960E3">
        <w:rPr>
          <w:rFonts w:cstheme="minorHAnsi"/>
        </w:rPr>
        <w:t>Chemistry</w:t>
      </w:r>
      <w:proofErr w:type="spellEnd"/>
      <w:r w:rsidRPr="00F960E3">
        <w:rPr>
          <w:rFonts w:cstheme="minorHAnsi"/>
        </w:rPr>
        <w:t xml:space="preserve"> for </w:t>
      </w:r>
      <w:proofErr w:type="spellStart"/>
      <w:r w:rsidRPr="00F960E3">
        <w:rPr>
          <w:rFonts w:cstheme="minorHAnsi"/>
        </w:rPr>
        <w:t>Health</w:t>
      </w:r>
      <w:proofErr w:type="spellEnd"/>
      <w:r w:rsidRPr="00F960E3">
        <w:rPr>
          <w:rFonts w:cstheme="minorHAnsi"/>
        </w:rPr>
        <w:t xml:space="preserve"> and the Environment” (INTERCHEM)</w:t>
      </w:r>
    </w:p>
    <w:p w:rsidR="004578E6" w:rsidRPr="00F960E3" w:rsidRDefault="008F69E1" w:rsidP="00F9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960E3">
        <w:rPr>
          <w:rFonts w:cstheme="minorHAnsi"/>
        </w:rPr>
        <w:t xml:space="preserve">Life </w:t>
      </w:r>
      <w:proofErr w:type="spellStart"/>
      <w:r w:rsidRPr="00F960E3">
        <w:rPr>
          <w:rFonts w:cstheme="minorHAnsi"/>
        </w:rPr>
        <w:t>Sciences</w:t>
      </w:r>
      <w:proofErr w:type="spellEnd"/>
      <w:r w:rsidRPr="00F960E3">
        <w:rPr>
          <w:rFonts w:cstheme="minorHAnsi"/>
        </w:rPr>
        <w:t xml:space="preserve"> and </w:t>
      </w:r>
      <w:proofErr w:type="spellStart"/>
      <w:r w:rsidRPr="00F960E3">
        <w:rPr>
          <w:rFonts w:cstheme="minorHAnsi"/>
        </w:rPr>
        <w:t>Mathematics</w:t>
      </w:r>
      <w:proofErr w:type="spellEnd"/>
      <w:r w:rsidRPr="00F960E3">
        <w:rPr>
          <w:rFonts w:cstheme="minorHAnsi"/>
        </w:rPr>
        <w:t xml:space="preserve"> </w:t>
      </w:r>
      <w:proofErr w:type="spellStart"/>
      <w:r w:rsidRPr="00F960E3">
        <w:rPr>
          <w:rFonts w:cstheme="minorHAnsi"/>
        </w:rPr>
        <w:t>Interdisciplinary</w:t>
      </w:r>
      <w:proofErr w:type="spellEnd"/>
      <w:r w:rsidRPr="00F960E3">
        <w:rPr>
          <w:rFonts w:cstheme="minorHAnsi"/>
        </w:rPr>
        <w:t xml:space="preserve"> </w:t>
      </w:r>
      <w:proofErr w:type="spellStart"/>
      <w:r w:rsidRPr="00F960E3">
        <w:rPr>
          <w:rFonts w:cstheme="minorHAnsi"/>
        </w:rPr>
        <w:t>Studies</w:t>
      </w:r>
      <w:proofErr w:type="spellEnd"/>
    </w:p>
    <w:sectPr w:rsidR="004578E6" w:rsidRPr="00F9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1E8"/>
    <w:multiLevelType w:val="hybridMultilevel"/>
    <w:tmpl w:val="0DA615C0"/>
    <w:lvl w:ilvl="0" w:tplc="9718D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1E56"/>
    <w:multiLevelType w:val="hybridMultilevel"/>
    <w:tmpl w:val="052A8E86"/>
    <w:lvl w:ilvl="0" w:tplc="9858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1D82"/>
    <w:multiLevelType w:val="hybridMultilevel"/>
    <w:tmpl w:val="71EE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20E3"/>
    <w:multiLevelType w:val="hybridMultilevel"/>
    <w:tmpl w:val="CF381F7E"/>
    <w:lvl w:ilvl="0" w:tplc="98580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1251"/>
    <w:multiLevelType w:val="hybridMultilevel"/>
    <w:tmpl w:val="6FC67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1879FA"/>
    <w:multiLevelType w:val="hybridMultilevel"/>
    <w:tmpl w:val="4AF884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2"/>
    <w:rsid w:val="00037253"/>
    <w:rsid w:val="000541EC"/>
    <w:rsid w:val="000E2051"/>
    <w:rsid w:val="001530EC"/>
    <w:rsid w:val="001577EB"/>
    <w:rsid w:val="00244CE2"/>
    <w:rsid w:val="0026062E"/>
    <w:rsid w:val="00291D7C"/>
    <w:rsid w:val="002E0C9D"/>
    <w:rsid w:val="002E0FAD"/>
    <w:rsid w:val="002E7CB7"/>
    <w:rsid w:val="003D6DA6"/>
    <w:rsid w:val="004578E6"/>
    <w:rsid w:val="004C75D4"/>
    <w:rsid w:val="00622727"/>
    <w:rsid w:val="006D2CC0"/>
    <w:rsid w:val="00796A81"/>
    <w:rsid w:val="008719B3"/>
    <w:rsid w:val="008F69E1"/>
    <w:rsid w:val="00915270"/>
    <w:rsid w:val="009F1F77"/>
    <w:rsid w:val="00B133AD"/>
    <w:rsid w:val="00B135F9"/>
    <w:rsid w:val="00C97A7A"/>
    <w:rsid w:val="00D26922"/>
    <w:rsid w:val="00D527D5"/>
    <w:rsid w:val="00DD7293"/>
    <w:rsid w:val="00DE785B"/>
    <w:rsid w:val="00E83463"/>
    <w:rsid w:val="00EB5CC5"/>
    <w:rsid w:val="00F22DA9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01EB-8856-4016-99F9-5FB5BF9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CC5"/>
    <w:pPr>
      <w:spacing w:after="200" w:line="276" w:lineRule="auto"/>
      <w:ind w:left="720"/>
      <w:contextualSpacing/>
    </w:pPr>
    <w:rPr>
      <w:rFonts w:ascii="Arial" w:eastAsiaTheme="minorEastAsia" w:hAnsi="Arial" w:cs="Arial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78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78E6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sid w:val="00F22DA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6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60E3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3E52C480</Template>
  <TotalTime>1</TotalTime>
  <Pages>3</Pages>
  <Words>878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2017-03-15T12:38:00Z</cp:lastPrinted>
  <dcterms:created xsi:type="dcterms:W3CDTF">2017-03-15T12:43:00Z</dcterms:created>
  <dcterms:modified xsi:type="dcterms:W3CDTF">2017-03-15T12:43:00Z</dcterms:modified>
</cp:coreProperties>
</file>